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75171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To</w:t>
            </w:r>
            <w:r w:rsidR="005C35A5" w:rsidRPr="0075171F">
              <w:rPr>
                <w:rStyle w:val="Firstpagetablebold"/>
                <w:rFonts w:cs="Arial"/>
              </w:rPr>
              <w:t>:</w:t>
            </w:r>
          </w:p>
        </w:tc>
        <w:tc>
          <w:tcPr>
            <w:tcW w:w="6406" w:type="dxa"/>
            <w:shd w:val="clear" w:color="auto" w:fill="auto"/>
          </w:tcPr>
          <w:p w:rsidR="00F445B1" w:rsidRPr="0075171F" w:rsidRDefault="006E1EF9" w:rsidP="004A6D2F">
            <w:pPr>
              <w:rPr>
                <w:rStyle w:val="Firstpagetablebold"/>
                <w:rFonts w:cs="Arial"/>
              </w:rPr>
            </w:pPr>
            <w:r w:rsidRPr="0075171F">
              <w:rPr>
                <w:rFonts w:cs="Arial"/>
                <w:b/>
                <w:bCs/>
              </w:rPr>
              <w:t>Standards Committee</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Dat</w:t>
            </w:r>
            <w:r w:rsidR="005C35A5" w:rsidRPr="0075171F">
              <w:rPr>
                <w:rStyle w:val="Firstpagetablebold"/>
                <w:rFonts w:cs="Arial"/>
              </w:rPr>
              <w:t>e:</w:t>
            </w:r>
          </w:p>
        </w:tc>
        <w:tc>
          <w:tcPr>
            <w:tcW w:w="6406" w:type="dxa"/>
            <w:shd w:val="clear" w:color="auto" w:fill="auto"/>
          </w:tcPr>
          <w:p w:rsidR="00F445B1" w:rsidRPr="0075171F" w:rsidRDefault="00C61419" w:rsidP="00AB2D3C">
            <w:pPr>
              <w:rPr>
                <w:rFonts w:cs="Arial"/>
                <w:b/>
              </w:rPr>
            </w:pPr>
            <w:r w:rsidRPr="00C61419">
              <w:rPr>
                <w:rFonts w:cs="Arial"/>
                <w:b/>
                <w:color w:val="auto"/>
              </w:rPr>
              <w:t>24 June</w:t>
            </w:r>
            <w:r w:rsidR="00AB2D3C" w:rsidRPr="00C61419">
              <w:rPr>
                <w:rFonts w:cs="Arial"/>
                <w:b/>
                <w:color w:val="auto"/>
              </w:rPr>
              <w:t xml:space="preserve"> 2019</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Report of</w:t>
            </w:r>
            <w:r w:rsidR="005C35A5" w:rsidRPr="0075171F">
              <w:rPr>
                <w:rStyle w:val="Firstpagetablebold"/>
                <w:rFonts w:cs="Arial"/>
              </w:rPr>
              <w:t>:</w:t>
            </w:r>
          </w:p>
        </w:tc>
        <w:tc>
          <w:tcPr>
            <w:tcW w:w="6406" w:type="dxa"/>
            <w:shd w:val="clear" w:color="auto" w:fill="auto"/>
          </w:tcPr>
          <w:p w:rsidR="00F445B1" w:rsidRPr="0075171F" w:rsidRDefault="00DC091B" w:rsidP="00625392">
            <w:pPr>
              <w:rPr>
                <w:rStyle w:val="Firstpagetablebold"/>
                <w:rFonts w:cs="Arial"/>
              </w:rPr>
            </w:pPr>
            <w:r w:rsidRPr="0075171F">
              <w:rPr>
                <w:rFonts w:cs="Arial"/>
                <w:b/>
                <w:bCs/>
              </w:rPr>
              <w:t xml:space="preserve">Monitoring Officer </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 xml:space="preserve">Title of Report: </w:t>
            </w:r>
          </w:p>
        </w:tc>
        <w:tc>
          <w:tcPr>
            <w:tcW w:w="6406" w:type="dxa"/>
            <w:shd w:val="clear" w:color="auto" w:fill="auto"/>
          </w:tcPr>
          <w:p w:rsidR="00F445B1" w:rsidRPr="0075171F" w:rsidRDefault="005D168D" w:rsidP="00BB01A0">
            <w:pPr>
              <w:spacing w:after="0"/>
              <w:rPr>
                <w:rStyle w:val="Firstpagetablebold"/>
                <w:rFonts w:cs="Arial"/>
              </w:rPr>
            </w:pPr>
            <w:r w:rsidRPr="0075171F">
              <w:rPr>
                <w:rStyle w:val="Firstpagetablebold"/>
                <w:rFonts w:cs="Arial"/>
              </w:rPr>
              <w:t xml:space="preserve">Code of Conduct: </w:t>
            </w:r>
            <w:r w:rsidR="0024336D" w:rsidRPr="0075171F">
              <w:rPr>
                <w:rStyle w:val="Firstpagetablebold"/>
                <w:rFonts w:cs="Arial"/>
              </w:rPr>
              <w:t xml:space="preserve">summary of </w:t>
            </w:r>
            <w:r w:rsidRPr="0075171F">
              <w:rPr>
                <w:rStyle w:val="Firstpagetablebold"/>
                <w:rFonts w:cs="Arial"/>
              </w:rPr>
              <w:t xml:space="preserve">complaints </w:t>
            </w:r>
            <w:r w:rsidR="0024336D" w:rsidRPr="0075171F">
              <w:rPr>
                <w:rStyle w:val="Firstpagetablebold"/>
                <w:rFonts w:cs="Arial"/>
                <w:color w:val="auto"/>
              </w:rPr>
              <w:t xml:space="preserve">and individual dispensations </w:t>
            </w:r>
            <w:r w:rsidR="00AB2D3C" w:rsidRPr="0075171F">
              <w:rPr>
                <w:rStyle w:val="Firstpagetablebold"/>
                <w:rFonts w:cs="Arial"/>
                <w:color w:val="auto"/>
              </w:rPr>
              <w:t>–</w:t>
            </w:r>
            <w:r w:rsidR="0024336D" w:rsidRPr="0075171F">
              <w:rPr>
                <w:rStyle w:val="Firstpagetablebold"/>
                <w:rFonts w:cs="Arial"/>
                <w:color w:val="auto"/>
              </w:rPr>
              <w:t xml:space="preserve"> </w:t>
            </w:r>
            <w:r w:rsidR="00AB2D3C" w:rsidRPr="00995CE0">
              <w:rPr>
                <w:rFonts w:cs="Arial"/>
                <w:b/>
                <w:color w:val="auto"/>
              </w:rPr>
              <w:t xml:space="preserve">1 </w:t>
            </w:r>
            <w:r w:rsidR="00BB01A0" w:rsidRPr="00995CE0">
              <w:rPr>
                <w:rFonts w:cs="Arial"/>
                <w:b/>
                <w:color w:val="auto"/>
              </w:rPr>
              <w:t>February 2019</w:t>
            </w:r>
            <w:r w:rsidR="0024336D" w:rsidRPr="00995CE0">
              <w:rPr>
                <w:rFonts w:cs="Arial"/>
                <w:b/>
                <w:color w:val="auto"/>
              </w:rPr>
              <w:t xml:space="preserve"> until 31 </w:t>
            </w:r>
            <w:r w:rsidR="00BB01A0" w:rsidRPr="00995CE0">
              <w:rPr>
                <w:rFonts w:cs="Arial"/>
                <w:b/>
                <w:color w:val="auto"/>
              </w:rPr>
              <w:t>May</w:t>
            </w:r>
            <w:r w:rsidR="00AB2D3C" w:rsidRPr="00995CE0">
              <w:rPr>
                <w:rFonts w:cs="Arial"/>
                <w:b/>
                <w:color w:val="auto"/>
              </w:rPr>
              <w:t xml:space="preserve"> 2019</w:t>
            </w:r>
          </w:p>
        </w:tc>
      </w:tr>
    </w:tbl>
    <w:p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RPr="0075171F" w:rsidTr="0080749A">
        <w:tc>
          <w:tcPr>
            <w:tcW w:w="8845" w:type="dxa"/>
            <w:gridSpan w:val="2"/>
            <w:tcBorders>
              <w:bottom w:val="single" w:sz="8" w:space="0" w:color="000000"/>
            </w:tcBorders>
            <w:hideMark/>
          </w:tcPr>
          <w:p w:rsidR="00D5547E" w:rsidRPr="0075171F" w:rsidRDefault="00745BF0" w:rsidP="00745BF0">
            <w:pPr>
              <w:jc w:val="center"/>
              <w:rPr>
                <w:rStyle w:val="Firstpagetablebold"/>
                <w:rFonts w:cs="Arial"/>
              </w:rPr>
            </w:pPr>
            <w:r w:rsidRPr="0075171F">
              <w:rPr>
                <w:rStyle w:val="Firstpagetablebold"/>
                <w:rFonts w:cs="Arial"/>
              </w:rPr>
              <w:t>Summary and r</w:t>
            </w:r>
            <w:r w:rsidR="00D5547E" w:rsidRPr="0075171F">
              <w:rPr>
                <w:rStyle w:val="Firstpagetablebold"/>
                <w:rFonts w:cs="Arial"/>
              </w:rPr>
              <w:t>ecommendations</w:t>
            </w:r>
          </w:p>
        </w:tc>
      </w:tr>
      <w:tr w:rsidR="00D5547E" w:rsidRPr="0075171F" w:rsidTr="0080749A">
        <w:tc>
          <w:tcPr>
            <w:tcW w:w="2438" w:type="dxa"/>
            <w:tcBorders>
              <w:top w:val="single" w:sz="8" w:space="0" w:color="000000"/>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24336D" w:rsidRPr="0075171F" w:rsidRDefault="002D1E8A" w:rsidP="00B90E90">
            <w:pPr>
              <w:rPr>
                <w:rFonts w:cs="Arial"/>
                <w:b/>
              </w:rPr>
            </w:pPr>
            <w:r w:rsidRPr="0075171F">
              <w:rPr>
                <w:rFonts w:cs="Arial"/>
                <w:b/>
              </w:rPr>
              <w:t>To advise the Committee of</w:t>
            </w:r>
            <w:r w:rsidR="0024336D" w:rsidRPr="0075171F">
              <w:rPr>
                <w:rFonts w:cs="Arial"/>
                <w:b/>
              </w:rPr>
              <w:t>:</w:t>
            </w:r>
          </w:p>
          <w:p w:rsidR="00BD7950" w:rsidRPr="0075171F" w:rsidRDefault="00700FE9" w:rsidP="00BD7950">
            <w:pPr>
              <w:pStyle w:val="ListParagraph"/>
              <w:numPr>
                <w:ilvl w:val="0"/>
                <w:numId w:val="28"/>
              </w:numPr>
              <w:rPr>
                <w:rFonts w:cs="Arial"/>
                <w:b/>
              </w:rPr>
            </w:pPr>
            <w:r>
              <w:rPr>
                <w:rFonts w:cs="Arial"/>
                <w:b/>
              </w:rPr>
              <w:t>T</w:t>
            </w:r>
            <w:r w:rsidR="002D1E8A" w:rsidRPr="0075171F">
              <w:rPr>
                <w:rFonts w:cs="Arial"/>
                <w:b/>
              </w:rPr>
              <w:t>he number</w:t>
            </w:r>
            <w:r w:rsidR="00BD7950" w:rsidRPr="0075171F">
              <w:rPr>
                <w:rFonts w:cs="Arial"/>
                <w:b/>
              </w:rPr>
              <w:t xml:space="preserve"> and status</w:t>
            </w:r>
            <w:r w:rsidR="002D1E8A" w:rsidRPr="0075171F">
              <w:rPr>
                <w:rFonts w:cs="Arial"/>
                <w:b/>
              </w:rPr>
              <w:t xml:space="preserve"> of complaints received under the Member</w:t>
            </w:r>
            <w:r w:rsidR="00627829" w:rsidRPr="0075171F">
              <w:rPr>
                <w:rFonts w:cs="Arial"/>
                <w:b/>
              </w:rPr>
              <w:t>s’</w:t>
            </w:r>
            <w:r w:rsidR="002D1E8A" w:rsidRPr="0075171F">
              <w:rPr>
                <w:rFonts w:cs="Arial"/>
                <w:b/>
              </w:rPr>
              <w:t xml:space="preserve"> Code of Conduct which have </w:t>
            </w:r>
            <w:r w:rsidR="004F44BF" w:rsidRPr="0075171F">
              <w:rPr>
                <w:rFonts w:cs="Arial"/>
                <w:b/>
              </w:rPr>
              <w:t xml:space="preserve">been, </w:t>
            </w:r>
            <w:r w:rsidR="002D1E8A" w:rsidRPr="0075171F">
              <w:rPr>
                <w:rFonts w:cs="Arial"/>
                <w:b/>
              </w:rPr>
              <w:t>or are to be</w:t>
            </w:r>
            <w:r w:rsidR="004F44BF" w:rsidRPr="0075171F">
              <w:rPr>
                <w:rFonts w:cs="Arial"/>
                <w:b/>
              </w:rPr>
              <w:t>,</w:t>
            </w:r>
            <w:r w:rsidR="002D1E8A" w:rsidRPr="0075171F">
              <w:rPr>
                <w:rFonts w:cs="Arial"/>
                <w:b/>
              </w:rPr>
              <w:t xml:space="preserve"> considered by the Head of Law and Governance (in her statutory capacity as the authority’s Monitoring Officer) </w:t>
            </w:r>
            <w:r w:rsidR="007F6EF6">
              <w:rPr>
                <w:rFonts w:cs="Arial"/>
                <w:b/>
              </w:rPr>
              <w:t>in consultation with the</w:t>
            </w:r>
            <w:r w:rsidR="002D1E8A" w:rsidRPr="0075171F">
              <w:rPr>
                <w:rFonts w:cs="Arial"/>
                <w:b/>
              </w:rPr>
              <w:t xml:space="preserve"> Independent Persons. </w:t>
            </w:r>
          </w:p>
          <w:p w:rsidR="00D5547E" w:rsidRPr="0075171F" w:rsidRDefault="00700FE9" w:rsidP="00BD7950">
            <w:pPr>
              <w:pStyle w:val="ListParagraph"/>
              <w:numPr>
                <w:ilvl w:val="0"/>
                <w:numId w:val="28"/>
              </w:numPr>
              <w:rPr>
                <w:rFonts w:cs="Arial"/>
                <w:b/>
              </w:rPr>
            </w:pPr>
            <w:r>
              <w:rPr>
                <w:rFonts w:cs="Arial"/>
                <w:b/>
              </w:rPr>
              <w:t>T</w:t>
            </w:r>
            <w:r w:rsidR="0024336D" w:rsidRPr="0075171F">
              <w:rPr>
                <w:rFonts w:cs="Arial"/>
                <w:b/>
              </w:rPr>
              <w:t>he number of dispensations to an individual member</w:t>
            </w:r>
            <w:r w:rsidR="004369D9" w:rsidRPr="0075171F">
              <w:rPr>
                <w:rFonts w:cs="Arial"/>
                <w:b/>
              </w:rPr>
              <w:t>,</w:t>
            </w:r>
            <w:r w:rsidR="0024336D" w:rsidRPr="0075171F">
              <w:rPr>
                <w:rFonts w:cs="Arial"/>
                <w:b/>
              </w:rPr>
              <w:t xml:space="preserve"> granted under Section 33 of the </w:t>
            </w:r>
            <w:r w:rsidR="00831E86" w:rsidRPr="0075171F">
              <w:rPr>
                <w:rFonts w:cs="Arial"/>
                <w:b/>
              </w:rPr>
              <w:t xml:space="preserve">2011 Localism </w:t>
            </w:r>
            <w:r w:rsidR="0024336D" w:rsidRPr="0075171F">
              <w:rPr>
                <w:rFonts w:cs="Arial"/>
                <w:b/>
              </w:rPr>
              <w:t>Act</w:t>
            </w:r>
            <w:r w:rsidR="004369D9" w:rsidRPr="0075171F">
              <w:rPr>
                <w:rFonts w:cs="Arial"/>
                <w:b/>
              </w:rPr>
              <w:t>,</w:t>
            </w:r>
            <w:r w:rsidR="0024336D" w:rsidRPr="0075171F">
              <w:rPr>
                <w:rFonts w:cs="Arial"/>
                <w:b/>
              </w:rPr>
              <w:t xml:space="preserve"> by the Monitoring Officer</w:t>
            </w:r>
            <w:r w:rsidR="00831E86" w:rsidRPr="0075171F">
              <w:rPr>
                <w:rFonts w:cs="Arial"/>
                <w:b/>
              </w:rPr>
              <w:t>, following</w:t>
            </w:r>
            <w:r w:rsidR="0024336D" w:rsidRPr="0075171F">
              <w:rPr>
                <w:rFonts w:cs="Arial"/>
                <w:b/>
              </w:rPr>
              <w:t xml:space="preserve"> consultation with </w:t>
            </w:r>
            <w:r w:rsidR="00831E86" w:rsidRPr="0075171F">
              <w:rPr>
                <w:rFonts w:cs="Arial"/>
                <w:b/>
              </w:rPr>
              <w:t>an</w:t>
            </w:r>
            <w:r w:rsidR="0024336D" w:rsidRPr="0075171F">
              <w:rPr>
                <w:rFonts w:cs="Arial"/>
                <w:b/>
              </w:rPr>
              <w:t xml:space="preserve"> Independent Person.</w:t>
            </w:r>
          </w:p>
        </w:tc>
      </w:tr>
      <w:tr w:rsidR="00D5547E" w:rsidRPr="0075171F" w:rsidTr="0080749A">
        <w:tc>
          <w:tcPr>
            <w:tcW w:w="2438" w:type="dxa"/>
            <w:tcBorders>
              <w:top w:val="nil"/>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Key decision:</w:t>
            </w:r>
          </w:p>
        </w:tc>
        <w:tc>
          <w:tcPr>
            <w:tcW w:w="6407" w:type="dxa"/>
            <w:tcBorders>
              <w:top w:val="nil"/>
              <w:left w:val="nil"/>
              <w:bottom w:val="nil"/>
              <w:right w:val="single" w:sz="8" w:space="0" w:color="000000"/>
            </w:tcBorders>
            <w:hideMark/>
          </w:tcPr>
          <w:p w:rsidR="00D5547E" w:rsidRPr="0075171F" w:rsidRDefault="006E1EF9" w:rsidP="005F7F7E">
            <w:pPr>
              <w:rPr>
                <w:rFonts w:cs="Arial"/>
              </w:rPr>
            </w:pPr>
            <w:r w:rsidRPr="0075171F">
              <w:rPr>
                <w:rFonts w:cs="Arial"/>
              </w:rPr>
              <w:t>No</w:t>
            </w:r>
          </w:p>
        </w:tc>
      </w:tr>
      <w:tr w:rsidR="005F7F7E" w:rsidRPr="0075171F" w:rsidTr="004521FD">
        <w:trPr>
          <w:trHeight w:val="413"/>
        </w:trPr>
        <w:tc>
          <w:tcPr>
            <w:tcW w:w="8845" w:type="dxa"/>
            <w:gridSpan w:val="2"/>
            <w:tcBorders>
              <w:bottom w:val="single" w:sz="8" w:space="0" w:color="000000"/>
            </w:tcBorders>
          </w:tcPr>
          <w:p w:rsidR="004E3B9B" w:rsidRPr="0075171F" w:rsidRDefault="006E1EF9" w:rsidP="004E3B9B">
            <w:pPr>
              <w:rPr>
                <w:rStyle w:val="Firstpagetablebold"/>
                <w:rFonts w:cs="Arial"/>
              </w:rPr>
            </w:pPr>
            <w:r w:rsidRPr="0075171F">
              <w:rPr>
                <w:rStyle w:val="Firstpagetablebold"/>
                <w:rFonts w:cs="Arial"/>
              </w:rPr>
              <w:t>Recommendation</w:t>
            </w:r>
            <w:r w:rsidR="005F7F7E" w:rsidRPr="0075171F">
              <w:rPr>
                <w:rStyle w:val="Firstpagetablebold"/>
                <w:rFonts w:cs="Arial"/>
              </w:rPr>
              <w:t>:</w:t>
            </w:r>
            <w:r w:rsidRPr="0075171F">
              <w:rPr>
                <w:rStyle w:val="Firstpagetablebold"/>
                <w:rFonts w:cs="Arial"/>
              </w:rPr>
              <w:t xml:space="preserve"> </w:t>
            </w:r>
          </w:p>
          <w:p w:rsidR="0084513E" w:rsidRPr="0075171F" w:rsidRDefault="005F7F7E" w:rsidP="00355F8D">
            <w:pPr>
              <w:rPr>
                <w:rFonts w:cs="Arial"/>
                <w:b/>
                <w:i/>
                <w:color w:val="FF0000"/>
              </w:rPr>
            </w:pPr>
            <w:r w:rsidRPr="0075171F">
              <w:rPr>
                <w:rStyle w:val="Firstpagetablebold"/>
                <w:rFonts w:cs="Arial"/>
                <w:color w:val="auto"/>
              </w:rPr>
              <w:t xml:space="preserve">That the </w:t>
            </w:r>
            <w:r w:rsidR="00DC091B" w:rsidRPr="0075171F">
              <w:rPr>
                <w:rStyle w:val="Firstpagetablebold"/>
                <w:rFonts w:cs="Arial"/>
                <w:color w:val="auto"/>
              </w:rPr>
              <w:t xml:space="preserve">Standards </w:t>
            </w:r>
            <w:r w:rsidR="006E1EF9" w:rsidRPr="0075171F">
              <w:rPr>
                <w:rStyle w:val="Firstpagetablebold"/>
                <w:rFonts w:cs="Arial"/>
                <w:color w:val="auto"/>
              </w:rPr>
              <w:t xml:space="preserve">Committee </w:t>
            </w:r>
            <w:r w:rsidR="00355F8D" w:rsidRPr="0075171F">
              <w:rPr>
                <w:rStyle w:val="Firstpagetablebold"/>
                <w:rFonts w:cs="Arial"/>
                <w:color w:val="auto"/>
              </w:rPr>
              <w:t>notes the content of the report.</w:t>
            </w:r>
          </w:p>
        </w:tc>
      </w:tr>
    </w:tbl>
    <w:p w:rsidR="00CE544A" w:rsidRPr="0075171F" w:rsidRDefault="00CE544A" w:rsidP="004A6D2F">
      <w:pPr>
        <w:rPr>
          <w:rFonts w:cs="Arial"/>
        </w:rPr>
      </w:pPr>
    </w:p>
    <w:p w:rsidR="0040736F" w:rsidRPr="0075171F" w:rsidRDefault="00F66DCA" w:rsidP="004A6D2F">
      <w:pPr>
        <w:pStyle w:val="Heading1"/>
        <w:rPr>
          <w:rFonts w:cs="Arial"/>
          <w:color w:val="auto"/>
        </w:rPr>
      </w:pPr>
      <w:r w:rsidRPr="0075171F">
        <w:rPr>
          <w:rFonts w:cs="Arial"/>
          <w:color w:val="auto"/>
        </w:rPr>
        <w:t>Introduction and b</w:t>
      </w:r>
      <w:r w:rsidR="00151888" w:rsidRPr="0075171F">
        <w:rPr>
          <w:rFonts w:cs="Arial"/>
          <w:color w:val="auto"/>
        </w:rPr>
        <w:t>ackground</w:t>
      </w:r>
      <w:r w:rsidR="00404032" w:rsidRPr="0075171F">
        <w:rPr>
          <w:rFonts w:cs="Arial"/>
          <w:color w:val="auto"/>
        </w:rPr>
        <w:t xml:space="preserve"> </w:t>
      </w:r>
    </w:p>
    <w:p w:rsidR="009153D7" w:rsidRPr="0075171F" w:rsidRDefault="00CF5FC2" w:rsidP="005C7612">
      <w:pPr>
        <w:pStyle w:val="ListParagraph"/>
        <w:numPr>
          <w:ilvl w:val="0"/>
          <w:numId w:val="6"/>
        </w:numPr>
        <w:shd w:val="clear" w:color="auto" w:fill="FFFFFF"/>
        <w:tabs>
          <w:tab w:val="clear" w:pos="426"/>
        </w:tabs>
        <w:spacing w:after="0"/>
        <w:ind w:left="426" w:hanging="426"/>
        <w:jc w:val="both"/>
        <w:rPr>
          <w:rFonts w:cs="Arial"/>
          <w:color w:val="auto"/>
        </w:rPr>
      </w:pPr>
      <w:r w:rsidRPr="0075171F">
        <w:rPr>
          <w:rFonts w:cs="Arial"/>
          <w:color w:val="auto"/>
        </w:rPr>
        <w:t>In compliance with legislation relating to the standards and conduct of elected councillors, the Council has in place complaints handling arrangements to enable a</w:t>
      </w:r>
      <w:r w:rsidR="00824590" w:rsidRPr="0075171F">
        <w:rPr>
          <w:rFonts w:cs="Arial"/>
          <w:color w:val="auto"/>
        </w:rPr>
        <w:t>n individual</w:t>
      </w:r>
      <w:r w:rsidRPr="0075171F">
        <w:rPr>
          <w:rFonts w:cs="Arial"/>
          <w:color w:val="auto"/>
        </w:rPr>
        <w:t xml:space="preserve"> to make a formal complaint that an elected or co-opted member of the City Council, or of a Parish Council within </w:t>
      </w:r>
      <w:r w:rsidR="005E0B78" w:rsidRPr="0075171F">
        <w:rPr>
          <w:rFonts w:cs="Arial"/>
          <w:color w:val="auto"/>
        </w:rPr>
        <w:t xml:space="preserve">the City Council’s </w:t>
      </w:r>
      <w:r w:rsidRPr="0075171F">
        <w:rPr>
          <w:rFonts w:cs="Arial"/>
          <w:color w:val="auto"/>
        </w:rPr>
        <w:t>area, has failed to comply with the authority’s Members’ Code of Conduct.</w:t>
      </w:r>
    </w:p>
    <w:p w:rsidR="00D26D58" w:rsidRPr="0075171F" w:rsidRDefault="00D26D58" w:rsidP="00D26D58">
      <w:pPr>
        <w:shd w:val="clear" w:color="auto" w:fill="FFFFFF"/>
        <w:spacing w:after="0"/>
        <w:rPr>
          <w:rFonts w:cs="Arial"/>
          <w:color w:val="auto"/>
        </w:rPr>
      </w:pPr>
    </w:p>
    <w:p w:rsidR="00D26D58" w:rsidRPr="0075171F" w:rsidRDefault="00D26D58" w:rsidP="005C7612">
      <w:pPr>
        <w:pStyle w:val="ListParagraph"/>
        <w:numPr>
          <w:ilvl w:val="0"/>
          <w:numId w:val="6"/>
        </w:numPr>
        <w:tabs>
          <w:tab w:val="clear" w:pos="426"/>
        </w:tabs>
        <w:spacing w:after="0"/>
        <w:ind w:left="426" w:hanging="426"/>
        <w:jc w:val="both"/>
        <w:rPr>
          <w:rFonts w:cs="Arial"/>
          <w:color w:val="auto"/>
        </w:rPr>
      </w:pPr>
      <w:r w:rsidRPr="0075171F">
        <w:rPr>
          <w:rFonts w:cs="Arial"/>
          <w:color w:val="auto"/>
        </w:rPr>
        <w:t xml:space="preserve">The Standards Committee is responsible for promoting high standards of ethical behaviour by developing, maintaining and monitoring the Members’ Code of Conduct.  </w:t>
      </w:r>
      <w:r w:rsidR="00754CED" w:rsidRPr="0075171F">
        <w:rPr>
          <w:rFonts w:cs="Arial"/>
          <w:color w:val="auto"/>
        </w:rPr>
        <w:t>T</w:t>
      </w:r>
      <w:r w:rsidRPr="0075171F">
        <w:rPr>
          <w:rFonts w:cs="Arial"/>
          <w:color w:val="auto"/>
        </w:rPr>
        <w:t>his report from the Monitoring Officer which identifies any issues or learning points arising from the complaints received</w:t>
      </w:r>
      <w:r w:rsidR="00754CED" w:rsidRPr="0075171F">
        <w:rPr>
          <w:rFonts w:cs="Arial"/>
          <w:color w:val="auto"/>
        </w:rPr>
        <w:t xml:space="preserve"> contributes to that monitoring process</w:t>
      </w:r>
      <w:r w:rsidRPr="0075171F">
        <w:rPr>
          <w:rFonts w:cs="Arial"/>
          <w:color w:val="auto"/>
        </w:rPr>
        <w:t xml:space="preserve">. </w:t>
      </w:r>
    </w:p>
    <w:p w:rsidR="00D26D58" w:rsidRPr="0075171F" w:rsidRDefault="00D26D58" w:rsidP="00D26D58">
      <w:pPr>
        <w:rPr>
          <w:rFonts w:cs="Arial"/>
          <w:color w:val="auto"/>
        </w:rPr>
      </w:pPr>
    </w:p>
    <w:p w:rsidR="00824590" w:rsidRPr="0075171F" w:rsidRDefault="00D26D58" w:rsidP="00F35B93">
      <w:pPr>
        <w:pStyle w:val="ListParagraph"/>
        <w:numPr>
          <w:ilvl w:val="0"/>
          <w:numId w:val="6"/>
        </w:numPr>
        <w:ind w:left="357" w:hanging="357"/>
        <w:rPr>
          <w:rFonts w:cs="Arial"/>
          <w:color w:val="auto"/>
        </w:rPr>
      </w:pPr>
      <w:r w:rsidRPr="0075171F">
        <w:rPr>
          <w:rFonts w:cs="Arial"/>
          <w:color w:val="auto"/>
        </w:rPr>
        <w:lastRenderedPageBreak/>
        <w:t xml:space="preserve">The key </w:t>
      </w:r>
      <w:r w:rsidR="00660AB7" w:rsidRPr="0075171F">
        <w:rPr>
          <w:rFonts w:cs="Arial"/>
          <w:color w:val="auto"/>
        </w:rPr>
        <w:t>stages</w:t>
      </w:r>
      <w:r w:rsidR="00824590" w:rsidRPr="0075171F">
        <w:rPr>
          <w:rFonts w:cs="Arial"/>
          <w:color w:val="auto"/>
        </w:rPr>
        <w:t xml:space="preserve"> </w:t>
      </w:r>
      <w:r w:rsidRPr="0075171F">
        <w:rPr>
          <w:rFonts w:cs="Arial"/>
          <w:color w:val="auto"/>
        </w:rPr>
        <w:t>of</w:t>
      </w:r>
      <w:r w:rsidR="00824590" w:rsidRPr="0075171F">
        <w:rPr>
          <w:rFonts w:cs="Arial"/>
          <w:color w:val="auto"/>
        </w:rPr>
        <w:t xml:space="preserve"> the complaints </w:t>
      </w:r>
      <w:r w:rsidR="00F35B93" w:rsidRPr="0075171F">
        <w:rPr>
          <w:rFonts w:cs="Arial"/>
          <w:color w:val="auto"/>
        </w:rPr>
        <w:t>handling arrangements</w:t>
      </w:r>
      <w:r w:rsidRPr="0075171F">
        <w:rPr>
          <w:rFonts w:cs="Arial"/>
          <w:color w:val="auto"/>
        </w:rPr>
        <w:t xml:space="preserve"> can be summarised as</w:t>
      </w:r>
      <w:r w:rsidR="00824590" w:rsidRPr="0075171F">
        <w:rPr>
          <w:rFonts w:cs="Arial"/>
          <w:color w:val="auto"/>
        </w:rPr>
        <w:t>:</w:t>
      </w:r>
    </w:p>
    <w:tbl>
      <w:tblPr>
        <w:tblStyle w:val="TableGrid"/>
        <w:tblW w:w="0" w:type="auto"/>
        <w:tblInd w:w="534" w:type="dxa"/>
        <w:tblLook w:val="04A0" w:firstRow="1" w:lastRow="0" w:firstColumn="1" w:lastColumn="0" w:noHBand="0" w:noVBand="1"/>
      </w:tblPr>
      <w:tblGrid>
        <w:gridCol w:w="1842"/>
        <w:gridCol w:w="6663"/>
      </w:tblGrid>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Initial tests</w:t>
            </w:r>
          </w:p>
        </w:tc>
        <w:tc>
          <w:tcPr>
            <w:tcW w:w="6663" w:type="dxa"/>
          </w:tcPr>
          <w:p w:rsidR="00D26D58" w:rsidRPr="0075171F" w:rsidRDefault="00D26D58" w:rsidP="00D26D58">
            <w:pPr>
              <w:spacing w:before="120" w:after="0"/>
              <w:ind w:left="175"/>
              <w:rPr>
                <w:rFonts w:cs="Arial"/>
                <w:color w:val="auto"/>
              </w:rPr>
            </w:pPr>
            <w:r w:rsidRPr="0075171F">
              <w:rPr>
                <w:rFonts w:cs="Arial"/>
                <w:color w:val="auto"/>
              </w:rPr>
              <w:t xml:space="preserve">The Monitoring Officer will apply the following </w:t>
            </w:r>
            <w:r w:rsidR="00754CED" w:rsidRPr="0075171F">
              <w:rPr>
                <w:rFonts w:cs="Arial"/>
                <w:color w:val="auto"/>
              </w:rPr>
              <w:t xml:space="preserve">“initial </w:t>
            </w:r>
            <w:r w:rsidRPr="0075171F">
              <w:rPr>
                <w:rFonts w:cs="Arial"/>
                <w:color w:val="auto"/>
              </w:rPr>
              <w:t>tests</w:t>
            </w:r>
            <w:r w:rsidR="00754CED" w:rsidRPr="0075171F">
              <w:rPr>
                <w:rFonts w:cs="Arial"/>
                <w:color w:val="auto"/>
              </w:rPr>
              <w:t>”</w:t>
            </w:r>
            <w:r w:rsidRPr="0075171F">
              <w:rPr>
                <w:rFonts w:cs="Arial"/>
                <w:color w:val="auto"/>
              </w:rPr>
              <w:t xml:space="preserve"> to the complaint</w:t>
            </w:r>
            <w:r w:rsidR="00B8014B" w:rsidRPr="0075171F">
              <w:rPr>
                <w:rFonts w:cs="Arial"/>
                <w:color w:val="auto"/>
              </w:rPr>
              <w:t>:</w:t>
            </w:r>
          </w:p>
          <w:p w:rsidR="00B8014B" w:rsidRPr="0075171F" w:rsidRDefault="00B8014B" w:rsidP="00B8014B">
            <w:pPr>
              <w:pStyle w:val="ListParagraph"/>
              <w:numPr>
                <w:ilvl w:val="0"/>
                <w:numId w:val="33"/>
              </w:numPr>
              <w:tabs>
                <w:tab w:val="clear" w:pos="426"/>
              </w:tabs>
              <w:spacing w:after="0"/>
              <w:ind w:left="494" w:hanging="284"/>
              <w:rPr>
                <w:rFonts w:cs="Arial"/>
                <w:color w:val="auto"/>
              </w:rPr>
            </w:pPr>
            <w:r w:rsidRPr="0075171F">
              <w:rPr>
                <w:rFonts w:cs="Arial"/>
                <w:color w:val="auto"/>
              </w:rPr>
              <w:t xml:space="preserve">It is a complaint against one or more named councillors of Oxford City Council or a Parish Council within the city boundaries; </w:t>
            </w:r>
          </w:p>
          <w:p w:rsidR="00B8014B" w:rsidRPr="0075171F" w:rsidRDefault="00B8014B" w:rsidP="00B8014B">
            <w:pPr>
              <w:pStyle w:val="ListParagraph"/>
              <w:numPr>
                <w:ilvl w:val="0"/>
                <w:numId w:val="33"/>
              </w:numPr>
              <w:tabs>
                <w:tab w:val="clear" w:pos="426"/>
              </w:tabs>
              <w:spacing w:after="0"/>
              <w:ind w:left="494" w:hanging="284"/>
              <w:rPr>
                <w:rFonts w:cs="Arial"/>
                <w:color w:val="auto"/>
              </w:rPr>
            </w:pPr>
            <w:r w:rsidRPr="0075171F">
              <w:rPr>
                <w:rFonts w:cs="Arial"/>
                <w:color w:val="auto"/>
              </w:rPr>
              <w:t xml:space="preserve">The named councillor was in office at the time of the alleged conduct and the Code of Conduct was in force at the time; </w:t>
            </w:r>
          </w:p>
          <w:p w:rsidR="00754CED" w:rsidRPr="0075171F" w:rsidRDefault="00B8014B" w:rsidP="00B52404">
            <w:pPr>
              <w:pStyle w:val="ListParagraph"/>
              <w:numPr>
                <w:ilvl w:val="0"/>
                <w:numId w:val="32"/>
              </w:numPr>
              <w:tabs>
                <w:tab w:val="clear" w:pos="426"/>
              </w:tabs>
              <w:ind w:left="494" w:hanging="284"/>
              <w:rPr>
                <w:rFonts w:cs="Arial"/>
                <w:color w:val="auto"/>
              </w:rPr>
            </w:pPr>
            <w:r w:rsidRPr="0075171F">
              <w:rPr>
                <w:rFonts w:cs="Arial"/>
                <w:color w:val="auto"/>
              </w:rPr>
              <w:t>The complaint, if proven, would be a breach of the Code under which the councillor was operating at the time of the alleged misconduct.</w:t>
            </w:r>
          </w:p>
        </w:tc>
      </w:tr>
      <w:tr w:rsidR="00D26D58" w:rsidRPr="0075171F" w:rsidTr="00700FE9">
        <w:trPr>
          <w:trHeight w:val="2665"/>
        </w:trPr>
        <w:tc>
          <w:tcPr>
            <w:tcW w:w="1842" w:type="dxa"/>
          </w:tcPr>
          <w:p w:rsidR="00D26D58" w:rsidRPr="0075171F" w:rsidRDefault="00D26D58" w:rsidP="006A68BA">
            <w:pPr>
              <w:spacing w:before="120" w:after="0"/>
              <w:rPr>
                <w:rFonts w:cs="Arial"/>
                <w:b/>
                <w:color w:val="auto"/>
              </w:rPr>
            </w:pPr>
            <w:r w:rsidRPr="0075171F">
              <w:rPr>
                <w:rFonts w:cs="Arial"/>
                <w:b/>
                <w:color w:val="auto"/>
              </w:rPr>
              <w:t>Assessment</w:t>
            </w:r>
            <w:r w:rsidR="00B52404" w:rsidRPr="0075171F">
              <w:rPr>
                <w:rFonts w:cs="Arial"/>
                <w:b/>
                <w:color w:val="auto"/>
              </w:rPr>
              <w:t xml:space="preserve"> </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rsidR="005A016C" w:rsidRPr="0075171F" w:rsidRDefault="005A016C" w:rsidP="00B8014B">
            <w:pPr>
              <w:pStyle w:val="ListParagraph"/>
              <w:numPr>
                <w:ilvl w:val="0"/>
                <w:numId w:val="29"/>
              </w:numPr>
              <w:tabs>
                <w:tab w:val="clear" w:pos="426"/>
              </w:tabs>
              <w:spacing w:after="0"/>
              <w:ind w:left="460" w:hanging="284"/>
              <w:rPr>
                <w:rFonts w:cs="Arial"/>
              </w:rPr>
            </w:pPr>
            <w:r w:rsidRPr="0075171F">
              <w:rPr>
                <w:rFonts w:cs="Arial"/>
              </w:rPr>
              <w:t xml:space="preserve">No further action </w:t>
            </w:r>
          </w:p>
          <w:p w:rsidR="005A016C" w:rsidRPr="0075171F" w:rsidRDefault="005C7612" w:rsidP="005A016C">
            <w:pPr>
              <w:pStyle w:val="ListParagraph"/>
              <w:numPr>
                <w:ilvl w:val="0"/>
                <w:numId w:val="29"/>
              </w:numPr>
              <w:tabs>
                <w:tab w:val="clear" w:pos="426"/>
              </w:tabs>
              <w:spacing w:after="0"/>
              <w:ind w:left="459" w:hanging="284"/>
              <w:rPr>
                <w:rFonts w:cs="Arial"/>
              </w:rPr>
            </w:pPr>
            <w:r w:rsidRPr="0075171F">
              <w:rPr>
                <w:rFonts w:cs="Arial"/>
              </w:rPr>
              <w:t xml:space="preserve">Informal resolution brokered by the </w:t>
            </w:r>
            <w:r w:rsidR="005A016C" w:rsidRPr="0075171F">
              <w:rPr>
                <w:rFonts w:cs="Arial"/>
              </w:rPr>
              <w:t xml:space="preserve">Monitoring Officer and/or Group Leader </w:t>
            </w:r>
          </w:p>
          <w:p w:rsidR="005A016C" w:rsidRPr="0075171F" w:rsidRDefault="005A016C" w:rsidP="005A016C">
            <w:pPr>
              <w:pStyle w:val="ListParagraph"/>
              <w:numPr>
                <w:ilvl w:val="0"/>
                <w:numId w:val="29"/>
              </w:numPr>
              <w:tabs>
                <w:tab w:val="clear" w:pos="426"/>
              </w:tabs>
              <w:spacing w:after="0"/>
              <w:ind w:left="459" w:hanging="284"/>
              <w:rPr>
                <w:rFonts w:cs="Arial"/>
              </w:rPr>
            </w:pPr>
            <w:r w:rsidRPr="0075171F">
              <w:rPr>
                <w:rFonts w:cs="Arial"/>
              </w:rPr>
              <w:t xml:space="preserve">Referred for investigation </w:t>
            </w:r>
          </w:p>
          <w:p w:rsidR="005A016C" w:rsidRPr="0075171F" w:rsidRDefault="005A016C" w:rsidP="00B52404">
            <w:pPr>
              <w:pStyle w:val="ListParagraph"/>
              <w:numPr>
                <w:ilvl w:val="0"/>
                <w:numId w:val="29"/>
              </w:numPr>
              <w:tabs>
                <w:tab w:val="clear" w:pos="426"/>
              </w:tabs>
              <w:ind w:left="460" w:hanging="284"/>
              <w:rPr>
                <w:rFonts w:cs="Arial"/>
              </w:rPr>
            </w:pPr>
            <w:r w:rsidRPr="0075171F">
              <w:rPr>
                <w:rFonts w:cs="Arial"/>
              </w:rPr>
              <w:t>Referred to the police or other regulatory agency</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Investigation</w:t>
            </w:r>
          </w:p>
        </w:tc>
        <w:tc>
          <w:tcPr>
            <w:tcW w:w="6663" w:type="dxa"/>
          </w:tcPr>
          <w:p w:rsidR="00D26D58" w:rsidRPr="0075171F" w:rsidRDefault="00754CED" w:rsidP="00D26D58">
            <w:pPr>
              <w:spacing w:before="120" w:after="0"/>
              <w:ind w:left="176"/>
              <w:rPr>
                <w:rFonts w:cs="Arial"/>
                <w:color w:val="auto"/>
              </w:rPr>
            </w:pPr>
            <w:r w:rsidRPr="0075171F">
              <w:rPr>
                <w:rFonts w:cs="Arial"/>
                <w:color w:val="auto"/>
              </w:rPr>
              <w:t>A</w:t>
            </w:r>
            <w:r w:rsidR="00D26D58" w:rsidRPr="0075171F">
              <w:rPr>
                <w:rFonts w:cs="Arial"/>
                <w:color w:val="auto"/>
              </w:rPr>
              <w:t xml:space="preserve"> formal investigation may be conducted by an officer from Oxford City Council, an officer from another local authority or an independent investigator.</w:t>
            </w:r>
          </w:p>
          <w:p w:rsidR="00125393" w:rsidRPr="0075171F" w:rsidRDefault="00125393" w:rsidP="00125393">
            <w:pPr>
              <w:spacing w:before="120" w:after="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review the complaint and supporting evidence and may interview some or all of the people concerned.</w:t>
            </w:r>
          </w:p>
          <w:p w:rsidR="00125393" w:rsidRPr="0075171F" w:rsidRDefault="00125393" w:rsidP="00B52404">
            <w:pPr>
              <w:spacing w:before="12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then produce a draft report</w:t>
            </w:r>
            <w:r w:rsidR="000D437F" w:rsidRPr="0075171F">
              <w:rPr>
                <w:rFonts w:cs="Arial"/>
                <w:color w:val="auto"/>
              </w:rPr>
              <w:t>. The complainant and the councillor concerned will normally have an opportunity to comment on the draft report.  The investigating officer will then s</w:t>
            </w:r>
            <w:r w:rsidRPr="0075171F">
              <w:rPr>
                <w:rFonts w:cs="Arial"/>
                <w:color w:val="auto"/>
              </w:rPr>
              <w:t xml:space="preserve">ubmit </w:t>
            </w:r>
            <w:r w:rsidR="000D437F" w:rsidRPr="0075171F">
              <w:rPr>
                <w:rFonts w:cs="Arial"/>
                <w:color w:val="auto"/>
              </w:rPr>
              <w:t>the report</w:t>
            </w:r>
            <w:r w:rsidRPr="0075171F">
              <w:rPr>
                <w:rFonts w:cs="Arial"/>
                <w:color w:val="auto"/>
              </w:rPr>
              <w:t xml:space="preserve"> to the Monitoring Officer.  </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Local Hearing</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Hearing – complaint to be determined by the Standards Committee;</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Resolution - a fair resolution of the complaint which is acceptable to all parties</w:t>
            </w:r>
            <w:r w:rsidR="00754CED" w:rsidRPr="0075171F">
              <w:rPr>
                <w:rFonts w:cs="Arial"/>
                <w:color w:val="auto"/>
              </w:rPr>
              <w:t xml:space="preserve"> brokered by the Monitoring Officer</w:t>
            </w:r>
            <w:r w:rsidRPr="0075171F">
              <w:rPr>
                <w:rFonts w:cs="Arial"/>
                <w:color w:val="auto"/>
              </w:rPr>
              <w:t>; or</w:t>
            </w:r>
          </w:p>
          <w:p w:rsidR="00D26D58" w:rsidRPr="0075171F" w:rsidRDefault="00D26D58" w:rsidP="00B52404">
            <w:pPr>
              <w:pStyle w:val="ListParagraph"/>
              <w:numPr>
                <w:ilvl w:val="0"/>
                <w:numId w:val="23"/>
              </w:numPr>
              <w:tabs>
                <w:tab w:val="clear" w:pos="426"/>
              </w:tabs>
              <w:ind w:left="460" w:hanging="284"/>
              <w:rPr>
                <w:rFonts w:cs="Arial"/>
                <w:color w:val="auto"/>
              </w:rPr>
            </w:pPr>
            <w:r w:rsidRPr="0075171F">
              <w:rPr>
                <w:rFonts w:cs="Arial"/>
                <w:color w:val="auto"/>
              </w:rPr>
              <w:t xml:space="preserve">No action - complaint dismissed </w:t>
            </w:r>
          </w:p>
        </w:tc>
      </w:tr>
    </w:tbl>
    <w:p w:rsidR="00D26D58" w:rsidRPr="0075171F" w:rsidRDefault="00D26D58" w:rsidP="00D26D58">
      <w:pPr>
        <w:rPr>
          <w:rFonts w:cs="Arial"/>
          <w:color w:val="auto"/>
        </w:rPr>
      </w:pPr>
    </w:p>
    <w:p w:rsidR="00B52404" w:rsidRPr="0075171F" w:rsidRDefault="00B52404">
      <w:pPr>
        <w:spacing w:after="0"/>
        <w:rPr>
          <w:rFonts w:cs="Arial"/>
          <w:b/>
        </w:rPr>
      </w:pPr>
      <w:r w:rsidRPr="0075171F">
        <w:rPr>
          <w:rFonts w:cs="Arial"/>
          <w:b/>
        </w:rPr>
        <w:br w:type="page"/>
      </w:r>
    </w:p>
    <w:p w:rsidR="00D23E8F" w:rsidRPr="0075171F" w:rsidRDefault="00D23E8F" w:rsidP="00D23E8F">
      <w:pPr>
        <w:widowControl w:val="0"/>
        <w:tabs>
          <w:tab w:val="left" w:pos="1093"/>
          <w:tab w:val="left" w:pos="1094"/>
        </w:tabs>
        <w:autoSpaceDE w:val="0"/>
        <w:autoSpaceDN w:val="0"/>
        <w:rPr>
          <w:rFonts w:cs="Arial"/>
          <w:b/>
        </w:rPr>
      </w:pPr>
      <w:r w:rsidRPr="0075171F">
        <w:rPr>
          <w:rFonts w:cs="Arial"/>
          <w:b/>
        </w:rPr>
        <w:lastRenderedPageBreak/>
        <w:t xml:space="preserve">Complaints made against </w:t>
      </w:r>
      <w:r w:rsidR="00D26D58" w:rsidRPr="0075171F">
        <w:rPr>
          <w:rFonts w:cs="Arial"/>
          <w:b/>
        </w:rPr>
        <w:t>m</w:t>
      </w:r>
      <w:r w:rsidRPr="0075171F">
        <w:rPr>
          <w:rFonts w:cs="Arial"/>
          <w:b/>
        </w:rPr>
        <w:t xml:space="preserve">embers of Oxford City Council or </w:t>
      </w:r>
      <w:r w:rsidR="005D168D" w:rsidRPr="0075171F">
        <w:rPr>
          <w:rFonts w:cs="Arial"/>
          <w:b/>
        </w:rPr>
        <w:t xml:space="preserve">a </w:t>
      </w:r>
      <w:r w:rsidRPr="0075171F">
        <w:rPr>
          <w:rFonts w:cs="Arial"/>
          <w:b/>
        </w:rPr>
        <w:t>Parish Council</w:t>
      </w:r>
    </w:p>
    <w:p w:rsidR="00464EA8" w:rsidRPr="00BB01A0" w:rsidRDefault="009D7F0E" w:rsidP="00464EA8">
      <w:pPr>
        <w:pStyle w:val="ListParagraph"/>
        <w:numPr>
          <w:ilvl w:val="0"/>
          <w:numId w:val="6"/>
        </w:numPr>
        <w:ind w:left="357" w:hanging="357"/>
        <w:rPr>
          <w:rFonts w:cs="Arial"/>
          <w:color w:val="auto"/>
        </w:rPr>
      </w:pPr>
      <w:r w:rsidRPr="00BB01A0">
        <w:rPr>
          <w:rFonts w:cs="Arial"/>
          <w:color w:val="auto"/>
        </w:rPr>
        <w:t>In the period</w:t>
      </w:r>
      <w:r w:rsidR="00CF5FC2" w:rsidRPr="00BB01A0">
        <w:rPr>
          <w:rFonts w:cs="Arial"/>
          <w:color w:val="auto"/>
        </w:rPr>
        <w:t xml:space="preserve"> 1 </w:t>
      </w:r>
      <w:r w:rsidR="00BB01A0" w:rsidRPr="00BB01A0">
        <w:rPr>
          <w:rFonts w:cs="Arial"/>
          <w:color w:val="auto"/>
        </w:rPr>
        <w:t>February 2019</w:t>
      </w:r>
      <w:r w:rsidR="00CF5FC2" w:rsidRPr="00BB01A0">
        <w:rPr>
          <w:rFonts w:cs="Arial"/>
          <w:color w:val="auto"/>
        </w:rPr>
        <w:t xml:space="preserve"> up to and including 31 </w:t>
      </w:r>
      <w:r w:rsidR="00BB01A0" w:rsidRPr="00BB01A0">
        <w:rPr>
          <w:rFonts w:cs="Arial"/>
          <w:color w:val="auto"/>
        </w:rPr>
        <w:t>Ma</w:t>
      </w:r>
      <w:r w:rsidR="00AB2D3C" w:rsidRPr="00BB01A0">
        <w:rPr>
          <w:rFonts w:cs="Arial"/>
          <w:color w:val="auto"/>
        </w:rPr>
        <w:t>y 2019</w:t>
      </w:r>
      <w:r w:rsidR="00CF5FC2" w:rsidRPr="00BB01A0">
        <w:rPr>
          <w:rFonts w:cs="Arial"/>
          <w:color w:val="auto"/>
        </w:rPr>
        <w:t xml:space="preserve"> the Monitoring Officer </w:t>
      </w:r>
      <w:r w:rsidR="00A77C9D" w:rsidRPr="00BB01A0">
        <w:rPr>
          <w:rFonts w:cs="Arial"/>
          <w:color w:val="auto"/>
        </w:rPr>
        <w:t>dealt with the following</w:t>
      </w:r>
      <w:r w:rsidR="002D1E8A" w:rsidRPr="00BB01A0">
        <w:rPr>
          <w:rFonts w:cs="Arial"/>
          <w:color w:val="auto"/>
        </w:rPr>
        <w:t xml:space="preserve"> complaints</w:t>
      </w:r>
      <w:r w:rsidR="002910D4">
        <w:rPr>
          <w:rFonts w:cs="Arial"/>
          <w:color w:val="auto"/>
        </w:rPr>
        <w:t xml:space="preserve">: </w:t>
      </w:r>
    </w:p>
    <w:tbl>
      <w:tblPr>
        <w:tblStyle w:val="TableGrid"/>
        <w:tblW w:w="0" w:type="auto"/>
        <w:tblInd w:w="675" w:type="dxa"/>
        <w:tblLook w:val="04A0" w:firstRow="1" w:lastRow="0" w:firstColumn="1" w:lastColumn="0" w:noHBand="0" w:noVBand="1"/>
      </w:tblPr>
      <w:tblGrid>
        <w:gridCol w:w="972"/>
        <w:gridCol w:w="1290"/>
        <w:gridCol w:w="1566"/>
        <w:gridCol w:w="4536"/>
      </w:tblGrid>
      <w:tr w:rsidR="00C945C1" w:rsidRPr="00C945C1" w:rsidTr="00700FE9">
        <w:tc>
          <w:tcPr>
            <w:tcW w:w="972" w:type="dxa"/>
          </w:tcPr>
          <w:p w:rsidR="00A77C9D" w:rsidRPr="00526FA9" w:rsidRDefault="00A77C9D" w:rsidP="00C1753F">
            <w:pPr>
              <w:spacing w:after="0"/>
              <w:rPr>
                <w:rFonts w:cs="Arial"/>
                <w:b/>
                <w:color w:val="auto"/>
              </w:rPr>
            </w:pPr>
            <w:r w:rsidRPr="00526FA9">
              <w:rPr>
                <w:rFonts w:cs="Arial"/>
                <w:b/>
                <w:color w:val="auto"/>
              </w:rPr>
              <w:t>Ref</w:t>
            </w:r>
          </w:p>
        </w:tc>
        <w:tc>
          <w:tcPr>
            <w:tcW w:w="1290" w:type="dxa"/>
          </w:tcPr>
          <w:p w:rsidR="00A77C9D" w:rsidRPr="00526FA9" w:rsidRDefault="00A77C9D" w:rsidP="00C1753F">
            <w:pPr>
              <w:spacing w:after="0"/>
              <w:rPr>
                <w:rFonts w:cs="Arial"/>
                <w:b/>
                <w:color w:val="auto"/>
              </w:rPr>
            </w:pPr>
            <w:r w:rsidRPr="00526FA9">
              <w:rPr>
                <w:rFonts w:cs="Arial"/>
                <w:b/>
                <w:color w:val="auto"/>
              </w:rPr>
              <w:t>Date</w:t>
            </w:r>
          </w:p>
        </w:tc>
        <w:tc>
          <w:tcPr>
            <w:tcW w:w="1566" w:type="dxa"/>
          </w:tcPr>
          <w:p w:rsidR="00A77C9D" w:rsidRPr="00526FA9" w:rsidRDefault="00A77C9D" w:rsidP="00C1753F">
            <w:pPr>
              <w:spacing w:after="0"/>
              <w:rPr>
                <w:rFonts w:cs="Arial"/>
                <w:b/>
                <w:color w:val="auto"/>
              </w:rPr>
            </w:pPr>
            <w:r w:rsidRPr="00526FA9">
              <w:rPr>
                <w:rFonts w:cs="Arial"/>
                <w:b/>
                <w:color w:val="auto"/>
              </w:rPr>
              <w:t>City/Parish</w:t>
            </w:r>
          </w:p>
        </w:tc>
        <w:tc>
          <w:tcPr>
            <w:tcW w:w="4536" w:type="dxa"/>
          </w:tcPr>
          <w:p w:rsidR="00A77C9D" w:rsidRPr="00526FA9" w:rsidRDefault="00A77C9D" w:rsidP="00464EA8">
            <w:pPr>
              <w:spacing w:after="0"/>
              <w:rPr>
                <w:rFonts w:cs="Arial"/>
                <w:b/>
                <w:color w:val="auto"/>
              </w:rPr>
            </w:pPr>
            <w:r w:rsidRPr="00526FA9">
              <w:rPr>
                <w:rFonts w:cs="Arial"/>
                <w:b/>
                <w:color w:val="auto"/>
              </w:rPr>
              <w:t>Code – alleged breach in  behaviour</w:t>
            </w:r>
          </w:p>
        </w:tc>
      </w:tr>
      <w:tr w:rsidR="002910D4" w:rsidRPr="00C945C1" w:rsidTr="00700FE9">
        <w:tc>
          <w:tcPr>
            <w:tcW w:w="972" w:type="dxa"/>
          </w:tcPr>
          <w:p w:rsidR="002910D4" w:rsidRPr="00526FA9" w:rsidRDefault="002910D4" w:rsidP="00A26A97">
            <w:pPr>
              <w:rPr>
                <w:color w:val="auto"/>
              </w:rPr>
            </w:pPr>
            <w:r w:rsidRPr="00526FA9">
              <w:rPr>
                <w:color w:val="auto"/>
              </w:rPr>
              <w:t>14755</w:t>
            </w:r>
          </w:p>
        </w:tc>
        <w:tc>
          <w:tcPr>
            <w:tcW w:w="1290" w:type="dxa"/>
          </w:tcPr>
          <w:p w:rsidR="002910D4" w:rsidRPr="00526FA9" w:rsidRDefault="002910D4" w:rsidP="00A26A97">
            <w:pPr>
              <w:rPr>
                <w:color w:val="auto"/>
              </w:rPr>
            </w:pPr>
            <w:r w:rsidRPr="00526FA9">
              <w:rPr>
                <w:color w:val="auto"/>
              </w:rPr>
              <w:t>Nov 2018</w:t>
            </w:r>
          </w:p>
        </w:tc>
        <w:tc>
          <w:tcPr>
            <w:tcW w:w="1566" w:type="dxa"/>
          </w:tcPr>
          <w:p w:rsidR="002910D4" w:rsidRPr="00526FA9" w:rsidRDefault="002910D4" w:rsidP="00A26A97">
            <w:pPr>
              <w:rPr>
                <w:color w:val="auto"/>
              </w:rPr>
            </w:pPr>
            <w:r w:rsidRPr="00526FA9">
              <w:rPr>
                <w:color w:val="auto"/>
              </w:rPr>
              <w:t>Parish</w:t>
            </w:r>
          </w:p>
        </w:tc>
        <w:tc>
          <w:tcPr>
            <w:tcW w:w="4536" w:type="dxa"/>
          </w:tcPr>
          <w:p w:rsidR="002910D4" w:rsidRPr="00526FA9" w:rsidRDefault="002910D4" w:rsidP="002910D4">
            <w:pPr>
              <w:spacing w:after="0"/>
              <w:rPr>
                <w:color w:val="auto"/>
              </w:rPr>
            </w:pPr>
            <w:r w:rsidRPr="00526FA9">
              <w:rPr>
                <w:color w:val="auto"/>
              </w:rPr>
              <w:t>Honesty &amp; Integrity</w:t>
            </w:r>
          </w:p>
          <w:p w:rsidR="002910D4" w:rsidRPr="00526FA9" w:rsidRDefault="002910D4" w:rsidP="002910D4">
            <w:pPr>
              <w:spacing w:after="0"/>
              <w:rPr>
                <w:rFonts w:cs="Arial"/>
                <w:color w:val="auto"/>
              </w:rPr>
            </w:pPr>
            <w:r w:rsidRPr="00526FA9">
              <w:rPr>
                <w:rFonts w:cs="Arial"/>
                <w:color w:val="auto"/>
              </w:rPr>
              <w:t>Leadership</w:t>
            </w:r>
          </w:p>
          <w:p w:rsidR="002910D4" w:rsidRPr="00526FA9" w:rsidRDefault="002910D4" w:rsidP="002910D4">
            <w:pPr>
              <w:spacing w:after="0"/>
              <w:rPr>
                <w:color w:val="auto"/>
              </w:rPr>
            </w:pPr>
            <w:r w:rsidRPr="00526FA9">
              <w:rPr>
                <w:rFonts w:cs="Arial"/>
                <w:color w:val="auto"/>
              </w:rPr>
              <w:t>General obligations</w:t>
            </w:r>
          </w:p>
        </w:tc>
      </w:tr>
      <w:tr w:rsidR="00C945C1" w:rsidRPr="00C945C1" w:rsidTr="00700FE9">
        <w:tc>
          <w:tcPr>
            <w:tcW w:w="972" w:type="dxa"/>
          </w:tcPr>
          <w:p w:rsidR="00C945C1" w:rsidRPr="00526FA9" w:rsidRDefault="00C945C1" w:rsidP="00B60AAC">
            <w:pPr>
              <w:rPr>
                <w:color w:val="auto"/>
              </w:rPr>
            </w:pPr>
            <w:r w:rsidRPr="00526FA9">
              <w:rPr>
                <w:color w:val="auto"/>
              </w:rPr>
              <w:t>15202</w:t>
            </w:r>
          </w:p>
        </w:tc>
        <w:tc>
          <w:tcPr>
            <w:tcW w:w="1290" w:type="dxa"/>
          </w:tcPr>
          <w:p w:rsidR="00C945C1" w:rsidRPr="00526FA9" w:rsidRDefault="00C945C1" w:rsidP="00B60AAC">
            <w:pPr>
              <w:rPr>
                <w:color w:val="auto"/>
              </w:rPr>
            </w:pPr>
            <w:r w:rsidRPr="00526FA9">
              <w:rPr>
                <w:color w:val="auto"/>
              </w:rPr>
              <w:t>May 2019</w:t>
            </w:r>
          </w:p>
        </w:tc>
        <w:tc>
          <w:tcPr>
            <w:tcW w:w="1566" w:type="dxa"/>
          </w:tcPr>
          <w:p w:rsidR="00C945C1" w:rsidRPr="00526FA9" w:rsidRDefault="00C945C1" w:rsidP="00B60AAC">
            <w:pPr>
              <w:rPr>
                <w:color w:val="auto"/>
              </w:rPr>
            </w:pPr>
            <w:r w:rsidRPr="00526FA9">
              <w:rPr>
                <w:color w:val="auto"/>
              </w:rPr>
              <w:t>Oxford City</w:t>
            </w:r>
          </w:p>
        </w:tc>
        <w:tc>
          <w:tcPr>
            <w:tcW w:w="4536" w:type="dxa"/>
          </w:tcPr>
          <w:p w:rsidR="00C945C1" w:rsidRDefault="00526FA9" w:rsidP="00C1753F">
            <w:pPr>
              <w:spacing w:after="0"/>
              <w:rPr>
                <w:rFonts w:cs="Arial"/>
                <w:color w:val="auto"/>
              </w:rPr>
            </w:pPr>
            <w:r>
              <w:rPr>
                <w:rFonts w:cs="Arial"/>
                <w:color w:val="auto"/>
              </w:rPr>
              <w:t>Objectivity</w:t>
            </w:r>
          </w:p>
          <w:p w:rsidR="00526FA9" w:rsidRDefault="00526FA9" w:rsidP="00C1753F">
            <w:pPr>
              <w:spacing w:after="0"/>
              <w:rPr>
                <w:rFonts w:cs="Arial"/>
                <w:color w:val="auto"/>
              </w:rPr>
            </w:pPr>
            <w:r>
              <w:rPr>
                <w:rFonts w:cs="Arial"/>
                <w:color w:val="auto"/>
              </w:rPr>
              <w:t>Respect for Others</w:t>
            </w:r>
          </w:p>
          <w:p w:rsidR="00526FA9" w:rsidRPr="00526FA9" w:rsidRDefault="00526FA9" w:rsidP="00C1753F">
            <w:pPr>
              <w:spacing w:after="0"/>
              <w:rPr>
                <w:rFonts w:cs="Arial"/>
                <w:color w:val="auto"/>
              </w:rPr>
            </w:pPr>
            <w:r>
              <w:rPr>
                <w:rFonts w:cs="Arial"/>
                <w:color w:val="auto"/>
              </w:rPr>
              <w:t>Impartiality</w:t>
            </w:r>
          </w:p>
        </w:tc>
      </w:tr>
    </w:tbl>
    <w:p w:rsidR="00352256" w:rsidRPr="0075171F" w:rsidRDefault="00352256" w:rsidP="002D1E8A">
      <w:pPr>
        <w:spacing w:after="0"/>
        <w:rPr>
          <w:rFonts w:cs="Arial"/>
          <w:color w:val="FF0000"/>
        </w:rPr>
      </w:pPr>
    </w:p>
    <w:p w:rsidR="002D1E8A" w:rsidRPr="00526FA9" w:rsidRDefault="005A1081" w:rsidP="00B52404">
      <w:pPr>
        <w:pStyle w:val="ListParagraph"/>
        <w:numPr>
          <w:ilvl w:val="0"/>
          <w:numId w:val="6"/>
        </w:numPr>
        <w:ind w:left="357" w:hanging="357"/>
        <w:rPr>
          <w:rFonts w:cs="Arial"/>
          <w:color w:val="auto"/>
        </w:rPr>
      </w:pPr>
      <w:r w:rsidRPr="00526FA9">
        <w:rPr>
          <w:rFonts w:cs="Arial"/>
          <w:color w:val="auto"/>
        </w:rPr>
        <w:t xml:space="preserve">The Monitoring Officer, in consultation with the Independent Person(s), </w:t>
      </w:r>
      <w:r w:rsidR="008A1A43" w:rsidRPr="00526FA9">
        <w:rPr>
          <w:rFonts w:cs="Arial"/>
          <w:color w:val="auto"/>
        </w:rPr>
        <w:t>considered</w:t>
      </w:r>
      <w:r w:rsidR="00355F8D" w:rsidRPr="00526FA9">
        <w:rPr>
          <w:rFonts w:cs="Arial"/>
          <w:color w:val="auto"/>
        </w:rPr>
        <w:t xml:space="preserve"> the complaint</w:t>
      </w:r>
      <w:r w:rsidR="002910D4" w:rsidRPr="00526FA9">
        <w:rPr>
          <w:rFonts w:cs="Arial"/>
          <w:color w:val="auto"/>
        </w:rPr>
        <w:t>s</w:t>
      </w:r>
      <w:r w:rsidR="003710CA" w:rsidRPr="00526FA9">
        <w:rPr>
          <w:rFonts w:cs="Arial"/>
          <w:color w:val="auto"/>
        </w:rPr>
        <w:t xml:space="preserve"> and made the following decision</w:t>
      </w:r>
      <w:r w:rsidR="00526FA9" w:rsidRPr="00526FA9">
        <w:rPr>
          <w:rFonts w:cs="Arial"/>
          <w:color w:val="auto"/>
        </w:rPr>
        <w:t xml:space="preserve"> in relation to Complaint (ref: 14755)</w:t>
      </w:r>
      <w:r w:rsidR="002D1E8A" w:rsidRPr="00526FA9">
        <w:rPr>
          <w:rFonts w:cs="Arial"/>
          <w:color w:val="auto"/>
        </w:rPr>
        <w:t>:</w:t>
      </w: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3969"/>
        <w:gridCol w:w="1134"/>
        <w:gridCol w:w="1134"/>
      </w:tblGrid>
      <w:tr w:rsidR="00A77C9D" w:rsidRPr="0075171F" w:rsidTr="00700FE9">
        <w:trPr>
          <w:cantSplit/>
          <w:trHeight w:hRule="exact" w:val="342"/>
        </w:trPr>
        <w:tc>
          <w:tcPr>
            <w:tcW w:w="6237" w:type="dxa"/>
            <w:gridSpan w:val="2"/>
          </w:tcPr>
          <w:p w:rsidR="00A77C9D" w:rsidRPr="0075171F" w:rsidRDefault="00A77C9D" w:rsidP="00C7197F">
            <w:pPr>
              <w:pStyle w:val="TableParagraph"/>
              <w:ind w:left="103"/>
              <w:jc w:val="left"/>
              <w:rPr>
                <w:b/>
                <w:sz w:val="24"/>
                <w:szCs w:val="24"/>
              </w:rPr>
            </w:pPr>
            <w:r w:rsidRPr="0075171F">
              <w:rPr>
                <w:b/>
                <w:sz w:val="24"/>
                <w:szCs w:val="24"/>
              </w:rPr>
              <w:t xml:space="preserve">Action </w:t>
            </w:r>
          </w:p>
        </w:tc>
        <w:tc>
          <w:tcPr>
            <w:tcW w:w="2268" w:type="dxa"/>
            <w:gridSpan w:val="2"/>
          </w:tcPr>
          <w:p w:rsidR="00A77C9D" w:rsidRPr="0075171F" w:rsidRDefault="00A77C9D" w:rsidP="00C7197F">
            <w:pPr>
              <w:pStyle w:val="TableParagraph"/>
              <w:spacing w:line="242" w:lineRule="auto"/>
              <w:ind w:left="122" w:right="105" w:firstLine="43"/>
              <w:rPr>
                <w:b/>
                <w:sz w:val="24"/>
                <w:szCs w:val="24"/>
              </w:rPr>
            </w:pPr>
            <w:r w:rsidRPr="0075171F">
              <w:rPr>
                <w:b/>
                <w:sz w:val="24"/>
                <w:szCs w:val="24"/>
              </w:rPr>
              <w:t>Reference</w:t>
            </w:r>
          </w:p>
        </w:tc>
      </w:tr>
      <w:tr w:rsidR="00A77C9D" w:rsidRPr="0075171F" w:rsidTr="00700FE9">
        <w:trPr>
          <w:cantSplit/>
          <w:trHeight w:hRule="exact" w:val="309"/>
        </w:trPr>
        <w:tc>
          <w:tcPr>
            <w:tcW w:w="6237" w:type="dxa"/>
            <w:gridSpan w:val="2"/>
          </w:tcPr>
          <w:p w:rsidR="00A77C9D" w:rsidRPr="0075171F" w:rsidRDefault="00A77C9D" w:rsidP="00BA4192">
            <w:pPr>
              <w:pStyle w:val="TableParagraph"/>
              <w:spacing w:line="240" w:lineRule="auto"/>
              <w:ind w:left="142"/>
              <w:jc w:val="left"/>
              <w:rPr>
                <w:b/>
                <w:sz w:val="24"/>
                <w:szCs w:val="24"/>
              </w:rPr>
            </w:pPr>
            <w:r w:rsidRPr="0075171F">
              <w:rPr>
                <w:b/>
                <w:sz w:val="24"/>
                <w:szCs w:val="24"/>
              </w:rPr>
              <w:t xml:space="preserve">Assessment </w:t>
            </w:r>
          </w:p>
        </w:tc>
        <w:tc>
          <w:tcPr>
            <w:tcW w:w="1134" w:type="dxa"/>
          </w:tcPr>
          <w:p w:rsidR="00A77C9D" w:rsidRPr="0075171F" w:rsidRDefault="00A77C9D" w:rsidP="00C30CC2">
            <w:pPr>
              <w:pStyle w:val="TableParagraph"/>
              <w:ind w:left="84" w:right="83"/>
              <w:rPr>
                <w:b/>
                <w:sz w:val="24"/>
                <w:szCs w:val="24"/>
              </w:rPr>
            </w:pPr>
            <w:r w:rsidRPr="0075171F">
              <w:rPr>
                <w:b/>
                <w:sz w:val="24"/>
                <w:szCs w:val="24"/>
              </w:rPr>
              <w:t>City</w:t>
            </w:r>
          </w:p>
        </w:tc>
        <w:tc>
          <w:tcPr>
            <w:tcW w:w="1134" w:type="dxa"/>
          </w:tcPr>
          <w:p w:rsidR="00A77C9D" w:rsidRPr="0075171F" w:rsidRDefault="00A77C9D" w:rsidP="00C30CC2">
            <w:pPr>
              <w:pStyle w:val="TableParagraph"/>
              <w:spacing w:line="242" w:lineRule="auto"/>
              <w:ind w:left="122" w:right="105" w:firstLine="43"/>
              <w:rPr>
                <w:b/>
                <w:sz w:val="24"/>
                <w:szCs w:val="24"/>
              </w:rPr>
            </w:pPr>
            <w:r w:rsidRPr="0075171F">
              <w:rPr>
                <w:b/>
                <w:sz w:val="24"/>
                <w:szCs w:val="24"/>
              </w:rPr>
              <w:t>Parish</w:t>
            </w:r>
          </w:p>
        </w:tc>
      </w:tr>
      <w:tr w:rsidR="000522BC" w:rsidRPr="0075171F" w:rsidTr="00700FE9">
        <w:trPr>
          <w:cantSplit/>
          <w:trHeight w:hRule="exact" w:val="618"/>
        </w:trPr>
        <w:tc>
          <w:tcPr>
            <w:tcW w:w="2268" w:type="dxa"/>
          </w:tcPr>
          <w:p w:rsidR="00514771" w:rsidRPr="0075171F" w:rsidRDefault="00514771" w:rsidP="003710CA">
            <w:pPr>
              <w:pStyle w:val="TableParagraph"/>
              <w:numPr>
                <w:ilvl w:val="0"/>
                <w:numId w:val="31"/>
              </w:numPr>
              <w:ind w:left="425" w:hanging="284"/>
              <w:jc w:val="left"/>
              <w:rPr>
                <w:b/>
                <w:sz w:val="24"/>
                <w:szCs w:val="24"/>
              </w:rPr>
            </w:pPr>
            <w:r w:rsidRPr="0075171F">
              <w:rPr>
                <w:b/>
                <w:sz w:val="24"/>
                <w:szCs w:val="24"/>
              </w:rPr>
              <w:t>No action</w:t>
            </w:r>
          </w:p>
        </w:tc>
        <w:tc>
          <w:tcPr>
            <w:tcW w:w="3969" w:type="dxa"/>
          </w:tcPr>
          <w:p w:rsidR="00514771" w:rsidRPr="0075171F" w:rsidRDefault="00700FE9" w:rsidP="00C7197F">
            <w:pPr>
              <w:pStyle w:val="TableParagraph"/>
              <w:ind w:left="103"/>
              <w:jc w:val="left"/>
              <w:rPr>
                <w:sz w:val="24"/>
                <w:szCs w:val="24"/>
              </w:rPr>
            </w:pPr>
            <w:r>
              <w:rPr>
                <w:sz w:val="24"/>
                <w:szCs w:val="24"/>
              </w:rPr>
              <w:t>N</w:t>
            </w:r>
            <w:r w:rsidR="00514771" w:rsidRPr="0075171F">
              <w:rPr>
                <w:sz w:val="24"/>
                <w:szCs w:val="24"/>
              </w:rPr>
              <w:t>o further action should be taken in respect of the allegation</w:t>
            </w:r>
          </w:p>
        </w:tc>
        <w:tc>
          <w:tcPr>
            <w:tcW w:w="1134" w:type="dxa"/>
          </w:tcPr>
          <w:p w:rsidR="00514771" w:rsidRPr="0075171F" w:rsidRDefault="00C945C1" w:rsidP="00C7197F">
            <w:pPr>
              <w:pStyle w:val="TableParagraph"/>
              <w:rPr>
                <w:sz w:val="24"/>
                <w:szCs w:val="24"/>
              </w:rPr>
            </w:pPr>
            <w:r>
              <w:rPr>
                <w:sz w:val="24"/>
                <w:szCs w:val="24"/>
              </w:rPr>
              <w:t>14755</w:t>
            </w:r>
          </w:p>
        </w:tc>
        <w:tc>
          <w:tcPr>
            <w:tcW w:w="1134" w:type="dxa"/>
          </w:tcPr>
          <w:p w:rsidR="00AF1361" w:rsidRPr="0075171F" w:rsidRDefault="00AF1361" w:rsidP="0075171F">
            <w:pPr>
              <w:pStyle w:val="TableParagraph"/>
              <w:rPr>
                <w:sz w:val="24"/>
                <w:szCs w:val="24"/>
              </w:rPr>
            </w:pPr>
          </w:p>
        </w:tc>
      </w:tr>
      <w:tr w:rsidR="000522BC" w:rsidRPr="0075171F" w:rsidTr="00700FE9">
        <w:trPr>
          <w:cantSplit/>
          <w:trHeight w:val="591"/>
        </w:trPr>
        <w:tc>
          <w:tcPr>
            <w:tcW w:w="2268" w:type="dxa"/>
          </w:tcPr>
          <w:p w:rsidR="00514771" w:rsidRPr="0075171F" w:rsidRDefault="00514771" w:rsidP="003710CA">
            <w:pPr>
              <w:pStyle w:val="TableParagraph"/>
              <w:numPr>
                <w:ilvl w:val="0"/>
                <w:numId w:val="31"/>
              </w:numPr>
              <w:spacing w:line="240" w:lineRule="auto"/>
              <w:ind w:left="425" w:hanging="284"/>
              <w:jc w:val="left"/>
              <w:rPr>
                <w:b/>
                <w:sz w:val="24"/>
                <w:szCs w:val="24"/>
              </w:rPr>
            </w:pPr>
            <w:r w:rsidRPr="0075171F">
              <w:rPr>
                <w:b/>
                <w:sz w:val="24"/>
                <w:szCs w:val="24"/>
              </w:rPr>
              <w:t>Informal resolution</w:t>
            </w:r>
          </w:p>
        </w:tc>
        <w:tc>
          <w:tcPr>
            <w:tcW w:w="3969" w:type="dxa"/>
          </w:tcPr>
          <w:p w:rsidR="00514771" w:rsidRPr="0075171F" w:rsidRDefault="00514771" w:rsidP="003710CA">
            <w:pPr>
              <w:pStyle w:val="TableParagraph"/>
              <w:spacing w:line="240" w:lineRule="auto"/>
              <w:ind w:left="102"/>
              <w:jc w:val="left"/>
              <w:rPr>
                <w:sz w:val="24"/>
                <w:szCs w:val="24"/>
              </w:rPr>
            </w:pPr>
            <w:r w:rsidRPr="0075171F">
              <w:rPr>
                <w:sz w:val="24"/>
                <w:szCs w:val="24"/>
              </w:rPr>
              <w:t>Referred to the Monitoring Officer and/or Group Leader for informal resolution</w:t>
            </w:r>
          </w:p>
        </w:tc>
        <w:tc>
          <w:tcPr>
            <w:tcW w:w="1134" w:type="dxa"/>
          </w:tcPr>
          <w:p w:rsidR="00514771" w:rsidRPr="0075171F" w:rsidRDefault="00514771" w:rsidP="00C7197F">
            <w:pPr>
              <w:pStyle w:val="TableParagraph"/>
              <w:spacing w:line="240" w:lineRule="auto"/>
              <w:rPr>
                <w:sz w:val="24"/>
                <w:szCs w:val="24"/>
              </w:rPr>
            </w:pPr>
          </w:p>
        </w:tc>
        <w:tc>
          <w:tcPr>
            <w:tcW w:w="1134" w:type="dxa"/>
          </w:tcPr>
          <w:p w:rsidR="00514771" w:rsidRPr="0075171F" w:rsidRDefault="00514771" w:rsidP="00C7197F">
            <w:pPr>
              <w:pStyle w:val="TableParagraph"/>
              <w:spacing w:line="240" w:lineRule="auto"/>
              <w:rPr>
                <w:sz w:val="24"/>
                <w:szCs w:val="24"/>
              </w:rPr>
            </w:pPr>
          </w:p>
        </w:tc>
      </w:tr>
      <w:tr w:rsidR="000522BC" w:rsidRPr="0075171F" w:rsidTr="00700FE9">
        <w:trPr>
          <w:cantSplit/>
          <w:trHeight w:hRule="exact" w:val="542"/>
        </w:trPr>
        <w:tc>
          <w:tcPr>
            <w:tcW w:w="2268" w:type="dxa"/>
          </w:tcPr>
          <w:p w:rsidR="00514771" w:rsidRPr="0075171F" w:rsidRDefault="00514771" w:rsidP="003710CA">
            <w:pPr>
              <w:pStyle w:val="TableParagraph"/>
              <w:numPr>
                <w:ilvl w:val="0"/>
                <w:numId w:val="31"/>
              </w:numPr>
              <w:tabs>
                <w:tab w:val="left" w:pos="563"/>
                <w:tab w:val="left" w:pos="1009"/>
                <w:tab w:val="left" w:pos="1981"/>
                <w:tab w:val="left" w:pos="2919"/>
                <w:tab w:val="left" w:pos="4147"/>
                <w:tab w:val="left" w:pos="5456"/>
              </w:tabs>
              <w:spacing w:line="252" w:lineRule="exact"/>
              <w:ind w:left="425" w:right="102" w:hanging="284"/>
              <w:jc w:val="left"/>
              <w:rPr>
                <w:b/>
                <w:sz w:val="24"/>
                <w:szCs w:val="24"/>
              </w:rPr>
            </w:pPr>
            <w:r w:rsidRPr="0075171F">
              <w:rPr>
                <w:b/>
                <w:sz w:val="24"/>
                <w:szCs w:val="24"/>
              </w:rPr>
              <w:t>Investigation</w:t>
            </w:r>
          </w:p>
        </w:tc>
        <w:tc>
          <w:tcPr>
            <w:tcW w:w="3969" w:type="dxa"/>
          </w:tcPr>
          <w:p w:rsidR="00514771" w:rsidRPr="0075171F" w:rsidRDefault="000522BC" w:rsidP="00660AB7">
            <w:pPr>
              <w:pStyle w:val="TableParagraph"/>
              <w:tabs>
                <w:tab w:val="left" w:pos="563"/>
                <w:tab w:val="left" w:pos="1009"/>
                <w:tab w:val="left" w:pos="1981"/>
                <w:tab w:val="left" w:pos="2919"/>
                <w:tab w:val="left" w:pos="4147"/>
                <w:tab w:val="left" w:pos="5456"/>
              </w:tabs>
              <w:spacing w:line="252" w:lineRule="exact"/>
              <w:ind w:left="103" w:right="102"/>
              <w:jc w:val="left"/>
              <w:rPr>
                <w:sz w:val="24"/>
                <w:szCs w:val="24"/>
              </w:rPr>
            </w:pPr>
            <w:r w:rsidRPr="0075171F">
              <w:rPr>
                <w:sz w:val="24"/>
                <w:szCs w:val="24"/>
              </w:rPr>
              <w:t>R</w:t>
            </w:r>
            <w:r w:rsidR="00514771" w:rsidRPr="0075171F">
              <w:rPr>
                <w:sz w:val="24"/>
                <w:szCs w:val="24"/>
              </w:rPr>
              <w:t>eferred</w:t>
            </w:r>
            <w:r w:rsidR="00660AB7" w:rsidRPr="0075171F">
              <w:rPr>
                <w:sz w:val="24"/>
                <w:szCs w:val="24"/>
              </w:rPr>
              <w:t xml:space="preserve"> </w:t>
            </w:r>
            <w:r w:rsidR="00514771" w:rsidRPr="0075171F">
              <w:rPr>
                <w:sz w:val="24"/>
                <w:szCs w:val="24"/>
              </w:rPr>
              <w:t>for</w:t>
            </w:r>
            <w:r w:rsidRPr="0075171F">
              <w:rPr>
                <w:sz w:val="24"/>
                <w:szCs w:val="24"/>
              </w:rPr>
              <w:t xml:space="preserve"> formal</w:t>
            </w:r>
            <w:r w:rsidR="00323A9E" w:rsidRPr="0075171F">
              <w:rPr>
                <w:sz w:val="24"/>
                <w:szCs w:val="24"/>
              </w:rPr>
              <w:t xml:space="preserve"> external</w:t>
            </w:r>
            <w:r w:rsidRPr="0075171F">
              <w:rPr>
                <w:sz w:val="24"/>
                <w:szCs w:val="24"/>
              </w:rPr>
              <w:t xml:space="preserve"> </w:t>
            </w:r>
            <w:r w:rsidR="00514771" w:rsidRPr="0075171F">
              <w:rPr>
                <w:sz w:val="24"/>
                <w:szCs w:val="24"/>
              </w:rPr>
              <w:t>investigation</w:t>
            </w:r>
            <w:r w:rsidRPr="0075171F">
              <w:rPr>
                <w:sz w:val="24"/>
                <w:szCs w:val="24"/>
              </w:rPr>
              <w:t xml:space="preserve"> </w:t>
            </w:r>
          </w:p>
        </w:tc>
        <w:tc>
          <w:tcPr>
            <w:tcW w:w="1134" w:type="dxa"/>
          </w:tcPr>
          <w:p w:rsidR="00514771" w:rsidRPr="0075171F" w:rsidRDefault="00514771" w:rsidP="00C7197F">
            <w:pPr>
              <w:pStyle w:val="TableParagraph"/>
              <w:rPr>
                <w:sz w:val="24"/>
                <w:szCs w:val="24"/>
              </w:rPr>
            </w:pPr>
          </w:p>
        </w:tc>
        <w:tc>
          <w:tcPr>
            <w:tcW w:w="1134" w:type="dxa"/>
          </w:tcPr>
          <w:p w:rsidR="00514771" w:rsidRPr="0075171F" w:rsidRDefault="00514771" w:rsidP="00C7197F">
            <w:pPr>
              <w:pStyle w:val="TableParagraph"/>
              <w:rPr>
                <w:sz w:val="24"/>
                <w:szCs w:val="24"/>
              </w:rPr>
            </w:pPr>
          </w:p>
        </w:tc>
      </w:tr>
      <w:tr w:rsidR="000522BC" w:rsidRPr="0075171F" w:rsidTr="00700FE9">
        <w:trPr>
          <w:cantSplit/>
          <w:trHeight w:hRule="exact" w:val="634"/>
        </w:trPr>
        <w:tc>
          <w:tcPr>
            <w:tcW w:w="2268" w:type="dxa"/>
          </w:tcPr>
          <w:p w:rsidR="00514771" w:rsidRPr="0075171F" w:rsidRDefault="00514771" w:rsidP="003710CA">
            <w:pPr>
              <w:pStyle w:val="TableParagraph"/>
              <w:numPr>
                <w:ilvl w:val="0"/>
                <w:numId w:val="31"/>
              </w:numPr>
              <w:ind w:left="425" w:hanging="284"/>
              <w:jc w:val="left"/>
              <w:rPr>
                <w:b/>
                <w:sz w:val="24"/>
                <w:szCs w:val="24"/>
              </w:rPr>
            </w:pPr>
            <w:r w:rsidRPr="0075171F">
              <w:rPr>
                <w:b/>
                <w:sz w:val="24"/>
                <w:szCs w:val="24"/>
              </w:rPr>
              <w:t>Referral</w:t>
            </w:r>
          </w:p>
        </w:tc>
        <w:tc>
          <w:tcPr>
            <w:tcW w:w="3969" w:type="dxa"/>
          </w:tcPr>
          <w:p w:rsidR="00514771" w:rsidRPr="0075171F" w:rsidRDefault="00514771" w:rsidP="00C7197F">
            <w:pPr>
              <w:pStyle w:val="TableParagraph"/>
              <w:ind w:left="103"/>
              <w:jc w:val="left"/>
              <w:rPr>
                <w:sz w:val="24"/>
                <w:szCs w:val="24"/>
              </w:rPr>
            </w:pPr>
            <w:r w:rsidRPr="0075171F">
              <w:rPr>
                <w:sz w:val="24"/>
                <w:szCs w:val="24"/>
              </w:rPr>
              <w:t xml:space="preserve">Referred to the </w:t>
            </w:r>
            <w:r w:rsidR="006C7E41" w:rsidRPr="0075171F">
              <w:rPr>
                <w:sz w:val="24"/>
                <w:szCs w:val="24"/>
              </w:rPr>
              <w:t>p</w:t>
            </w:r>
            <w:r w:rsidRPr="0075171F">
              <w:rPr>
                <w:sz w:val="24"/>
                <w:szCs w:val="24"/>
              </w:rPr>
              <w:t>olice or other regulatory agency</w:t>
            </w:r>
          </w:p>
        </w:tc>
        <w:tc>
          <w:tcPr>
            <w:tcW w:w="1134" w:type="dxa"/>
          </w:tcPr>
          <w:p w:rsidR="00514771" w:rsidRPr="0075171F" w:rsidRDefault="00514771" w:rsidP="00C7197F">
            <w:pPr>
              <w:pStyle w:val="TableParagraph"/>
              <w:rPr>
                <w:sz w:val="24"/>
                <w:szCs w:val="24"/>
              </w:rPr>
            </w:pPr>
          </w:p>
        </w:tc>
        <w:tc>
          <w:tcPr>
            <w:tcW w:w="1134" w:type="dxa"/>
          </w:tcPr>
          <w:p w:rsidR="00514771" w:rsidRPr="0075171F" w:rsidRDefault="00514771" w:rsidP="00C7197F">
            <w:pPr>
              <w:pStyle w:val="TableParagraph"/>
              <w:rPr>
                <w:sz w:val="24"/>
                <w:szCs w:val="24"/>
              </w:rPr>
            </w:pPr>
          </w:p>
        </w:tc>
      </w:tr>
      <w:tr w:rsidR="00660AB7" w:rsidRPr="0075171F" w:rsidTr="00B52404">
        <w:trPr>
          <w:cantSplit/>
          <w:trHeight w:hRule="exact" w:val="515"/>
        </w:trPr>
        <w:tc>
          <w:tcPr>
            <w:tcW w:w="8505" w:type="dxa"/>
            <w:gridSpan w:val="4"/>
          </w:tcPr>
          <w:p w:rsidR="00660AB7" w:rsidRPr="0075171F" w:rsidRDefault="00660AB7" w:rsidP="00B52404">
            <w:pPr>
              <w:pStyle w:val="TableParagraph"/>
              <w:spacing w:before="120" w:after="120"/>
              <w:ind w:left="142"/>
              <w:jc w:val="left"/>
              <w:rPr>
                <w:sz w:val="24"/>
                <w:szCs w:val="24"/>
              </w:rPr>
            </w:pPr>
            <w:r w:rsidRPr="0075171F">
              <w:rPr>
                <w:b/>
                <w:sz w:val="24"/>
                <w:szCs w:val="24"/>
              </w:rPr>
              <w:t>Local Hearing</w:t>
            </w:r>
          </w:p>
        </w:tc>
      </w:tr>
      <w:tr w:rsidR="00660AB7" w:rsidRPr="0075171F" w:rsidTr="00700FE9">
        <w:trPr>
          <w:cantSplit/>
          <w:trHeight w:hRule="exact" w:val="650"/>
        </w:trPr>
        <w:tc>
          <w:tcPr>
            <w:tcW w:w="2268" w:type="dxa"/>
          </w:tcPr>
          <w:p w:rsidR="00660AB7" w:rsidRPr="0075171F" w:rsidRDefault="00660AB7" w:rsidP="003710CA">
            <w:pPr>
              <w:pStyle w:val="TableParagraph"/>
              <w:numPr>
                <w:ilvl w:val="0"/>
                <w:numId w:val="30"/>
              </w:numPr>
              <w:ind w:left="425" w:hanging="284"/>
              <w:jc w:val="left"/>
              <w:rPr>
                <w:b/>
                <w:sz w:val="24"/>
                <w:szCs w:val="24"/>
              </w:rPr>
            </w:pPr>
            <w:r w:rsidRPr="0075171F">
              <w:rPr>
                <w:b/>
                <w:sz w:val="24"/>
                <w:szCs w:val="24"/>
              </w:rPr>
              <w:t>Local Resolution</w:t>
            </w:r>
          </w:p>
        </w:tc>
        <w:tc>
          <w:tcPr>
            <w:tcW w:w="3969" w:type="dxa"/>
          </w:tcPr>
          <w:p w:rsidR="00660AB7" w:rsidRPr="0075171F" w:rsidRDefault="00700FE9" w:rsidP="003710CA">
            <w:pPr>
              <w:spacing w:after="0"/>
              <w:ind w:left="130"/>
              <w:rPr>
                <w:rFonts w:cs="Arial"/>
              </w:rPr>
            </w:pPr>
            <w:r>
              <w:rPr>
                <w:rFonts w:cs="Arial"/>
                <w:color w:val="auto"/>
              </w:rPr>
              <w:t>A</w:t>
            </w:r>
            <w:r w:rsidR="00660AB7" w:rsidRPr="0075171F">
              <w:rPr>
                <w:rFonts w:cs="Arial"/>
                <w:color w:val="auto"/>
              </w:rPr>
              <w:t xml:space="preserve"> fair resolution of the complaint which is acceptable to all parties </w:t>
            </w:r>
          </w:p>
        </w:tc>
        <w:tc>
          <w:tcPr>
            <w:tcW w:w="1134" w:type="dxa"/>
          </w:tcPr>
          <w:p w:rsidR="00660AB7" w:rsidRPr="0075171F" w:rsidRDefault="00660AB7" w:rsidP="00660AB7">
            <w:pPr>
              <w:pStyle w:val="TableParagraph"/>
              <w:ind w:left="141"/>
              <w:jc w:val="left"/>
              <w:rPr>
                <w:b/>
                <w:sz w:val="24"/>
                <w:szCs w:val="24"/>
              </w:rPr>
            </w:pPr>
          </w:p>
        </w:tc>
        <w:tc>
          <w:tcPr>
            <w:tcW w:w="1134" w:type="dxa"/>
          </w:tcPr>
          <w:p w:rsidR="00660AB7" w:rsidRPr="0075171F" w:rsidRDefault="00660AB7" w:rsidP="00660AB7">
            <w:pPr>
              <w:pStyle w:val="TableParagraph"/>
              <w:ind w:left="141"/>
              <w:jc w:val="left"/>
              <w:rPr>
                <w:b/>
                <w:sz w:val="24"/>
                <w:szCs w:val="24"/>
              </w:rPr>
            </w:pPr>
          </w:p>
        </w:tc>
      </w:tr>
      <w:tr w:rsidR="00660AB7" w:rsidRPr="0075171F" w:rsidTr="00700FE9">
        <w:trPr>
          <w:cantSplit/>
          <w:trHeight w:hRule="exact" w:val="575"/>
        </w:trPr>
        <w:tc>
          <w:tcPr>
            <w:tcW w:w="2268" w:type="dxa"/>
          </w:tcPr>
          <w:p w:rsidR="00660AB7" w:rsidRPr="0075171F" w:rsidRDefault="00660AB7" w:rsidP="003710CA">
            <w:pPr>
              <w:pStyle w:val="TableParagraph"/>
              <w:numPr>
                <w:ilvl w:val="0"/>
                <w:numId w:val="30"/>
              </w:numPr>
              <w:ind w:left="425" w:hanging="284"/>
              <w:jc w:val="left"/>
              <w:rPr>
                <w:b/>
                <w:sz w:val="24"/>
                <w:szCs w:val="24"/>
              </w:rPr>
            </w:pPr>
            <w:r w:rsidRPr="0075171F">
              <w:rPr>
                <w:b/>
                <w:sz w:val="24"/>
                <w:szCs w:val="24"/>
              </w:rPr>
              <w:t>No action</w:t>
            </w:r>
          </w:p>
        </w:tc>
        <w:tc>
          <w:tcPr>
            <w:tcW w:w="3969" w:type="dxa"/>
          </w:tcPr>
          <w:p w:rsidR="00660AB7" w:rsidRPr="0075171F" w:rsidRDefault="00700FE9" w:rsidP="00660AB7">
            <w:pPr>
              <w:ind w:left="141"/>
              <w:rPr>
                <w:rFonts w:cs="Arial"/>
              </w:rPr>
            </w:pPr>
            <w:r>
              <w:rPr>
                <w:rFonts w:cs="Arial"/>
                <w:color w:val="auto"/>
              </w:rPr>
              <w:t>C</w:t>
            </w:r>
            <w:r w:rsidR="00660AB7" w:rsidRPr="0075171F">
              <w:rPr>
                <w:rFonts w:cs="Arial"/>
                <w:color w:val="auto"/>
              </w:rPr>
              <w:t>omplaint dismissed as no breach of the Code of Conduct</w:t>
            </w:r>
          </w:p>
        </w:tc>
        <w:tc>
          <w:tcPr>
            <w:tcW w:w="1134" w:type="dxa"/>
          </w:tcPr>
          <w:p w:rsidR="00660AB7" w:rsidRPr="0075171F" w:rsidRDefault="00660AB7" w:rsidP="00660AB7">
            <w:pPr>
              <w:pStyle w:val="TableParagraph"/>
              <w:ind w:left="141"/>
              <w:jc w:val="left"/>
              <w:rPr>
                <w:b/>
                <w:sz w:val="24"/>
                <w:szCs w:val="24"/>
              </w:rPr>
            </w:pPr>
          </w:p>
        </w:tc>
        <w:tc>
          <w:tcPr>
            <w:tcW w:w="1134" w:type="dxa"/>
          </w:tcPr>
          <w:p w:rsidR="00660AB7" w:rsidRPr="0075171F" w:rsidRDefault="00660AB7" w:rsidP="00660AB7">
            <w:pPr>
              <w:pStyle w:val="TableParagraph"/>
              <w:ind w:left="141"/>
              <w:jc w:val="left"/>
              <w:rPr>
                <w:b/>
                <w:sz w:val="24"/>
                <w:szCs w:val="24"/>
              </w:rPr>
            </w:pPr>
          </w:p>
        </w:tc>
      </w:tr>
    </w:tbl>
    <w:p w:rsidR="00376BF2" w:rsidRPr="0075171F" w:rsidRDefault="00376BF2" w:rsidP="00376BF2">
      <w:pPr>
        <w:spacing w:after="0"/>
        <w:rPr>
          <w:rFonts w:cs="Arial"/>
          <w:color w:val="auto"/>
        </w:rPr>
      </w:pPr>
    </w:p>
    <w:p w:rsidR="00526FA9" w:rsidRDefault="002910D4" w:rsidP="00526FA9">
      <w:pPr>
        <w:pStyle w:val="ListParagraph"/>
        <w:numPr>
          <w:ilvl w:val="0"/>
          <w:numId w:val="6"/>
        </w:numPr>
        <w:tabs>
          <w:tab w:val="left" w:pos="1260"/>
          <w:tab w:val="left" w:pos="1261"/>
        </w:tabs>
        <w:spacing w:after="0"/>
        <w:jc w:val="both"/>
        <w:rPr>
          <w:color w:val="auto"/>
        </w:rPr>
      </w:pPr>
      <w:r w:rsidRPr="00526FA9">
        <w:rPr>
          <w:rFonts w:cs="Arial"/>
          <w:color w:val="auto"/>
        </w:rPr>
        <w:t xml:space="preserve">The </w:t>
      </w:r>
      <w:r w:rsidR="00526FA9" w:rsidRPr="00526FA9">
        <w:rPr>
          <w:rFonts w:cs="Arial"/>
          <w:color w:val="auto"/>
        </w:rPr>
        <w:t xml:space="preserve">status of </w:t>
      </w:r>
      <w:r w:rsidRPr="00526FA9">
        <w:rPr>
          <w:rFonts w:cs="Arial"/>
          <w:color w:val="auto"/>
        </w:rPr>
        <w:t>complaint</w:t>
      </w:r>
      <w:r w:rsidR="00352256" w:rsidRPr="00526FA9">
        <w:rPr>
          <w:rFonts w:cs="Arial"/>
          <w:color w:val="auto"/>
        </w:rPr>
        <w:t xml:space="preserve"> (ref: 14755</w:t>
      </w:r>
      <w:r w:rsidR="00AF1361" w:rsidRPr="00526FA9">
        <w:rPr>
          <w:rFonts w:cs="Arial"/>
          <w:color w:val="auto"/>
        </w:rPr>
        <w:t xml:space="preserve">) </w:t>
      </w:r>
      <w:r w:rsidR="00526FA9" w:rsidRPr="00526FA9">
        <w:rPr>
          <w:rFonts w:cs="Arial"/>
          <w:color w:val="auto"/>
        </w:rPr>
        <w:t>was noted at</w:t>
      </w:r>
      <w:r w:rsidRPr="00526FA9">
        <w:rPr>
          <w:rFonts w:cs="Arial"/>
          <w:color w:val="auto"/>
        </w:rPr>
        <w:t xml:space="preserve"> the previous meeting of the Standards Committee</w:t>
      </w:r>
      <w:r w:rsidR="00526FA9" w:rsidRPr="00526FA9">
        <w:rPr>
          <w:rFonts w:cs="Arial"/>
          <w:color w:val="auto"/>
        </w:rPr>
        <w:t xml:space="preserve"> on 25 February 2019</w:t>
      </w:r>
      <w:r w:rsidRPr="00526FA9">
        <w:rPr>
          <w:rFonts w:cs="Arial"/>
          <w:color w:val="auto"/>
        </w:rPr>
        <w:t xml:space="preserve">.  </w:t>
      </w:r>
      <w:r w:rsidR="00232A52">
        <w:rPr>
          <w:rFonts w:cs="Arial"/>
          <w:color w:val="auto"/>
        </w:rPr>
        <w:t>In December 2018 t</w:t>
      </w:r>
      <w:r w:rsidRPr="00526FA9">
        <w:rPr>
          <w:rFonts w:cs="Arial"/>
          <w:color w:val="auto"/>
        </w:rPr>
        <w:t xml:space="preserve">he complaint had been </w:t>
      </w:r>
      <w:r w:rsidR="00AF1361" w:rsidRPr="00526FA9">
        <w:rPr>
          <w:rFonts w:cs="Arial"/>
          <w:color w:val="auto"/>
        </w:rPr>
        <w:t xml:space="preserve">assessed by the Monitoring Officer in consultation with an Independent Person and the decision </w:t>
      </w:r>
      <w:r w:rsidRPr="00526FA9">
        <w:rPr>
          <w:rFonts w:cs="Arial"/>
          <w:color w:val="auto"/>
        </w:rPr>
        <w:t>had been</w:t>
      </w:r>
      <w:r w:rsidR="00AF1361" w:rsidRPr="00526FA9">
        <w:rPr>
          <w:rFonts w:cs="Arial"/>
          <w:color w:val="auto"/>
        </w:rPr>
        <w:t xml:space="preserve"> taken to refer the matter </w:t>
      </w:r>
      <w:r w:rsidR="00585E83" w:rsidRPr="00526FA9">
        <w:rPr>
          <w:rFonts w:cs="Arial"/>
          <w:color w:val="auto"/>
        </w:rPr>
        <w:t>for investigation</w:t>
      </w:r>
      <w:r w:rsidR="00526FA9" w:rsidRPr="00526FA9">
        <w:rPr>
          <w:rFonts w:cs="Arial"/>
          <w:color w:val="auto"/>
        </w:rPr>
        <w:t xml:space="preserve"> as the complaint concerned allegations of a </w:t>
      </w:r>
      <w:r w:rsidR="009D3388">
        <w:rPr>
          <w:rFonts w:cs="Arial"/>
          <w:color w:val="auto"/>
        </w:rPr>
        <w:t xml:space="preserve">potentially </w:t>
      </w:r>
      <w:r w:rsidR="00526FA9" w:rsidRPr="00526FA9">
        <w:rPr>
          <w:rFonts w:cs="Arial"/>
          <w:color w:val="auto"/>
        </w:rPr>
        <w:t xml:space="preserve">serious nature which had a bearing on the reputation of both the Subject Councillor and on the Parish Council and </w:t>
      </w:r>
      <w:r w:rsidR="00526FA9" w:rsidRPr="00526FA9">
        <w:rPr>
          <w:color w:val="auto"/>
        </w:rPr>
        <w:t>the allegations, if proven to have been undertaken in an official capacity, could constitute a breach of the Code of Conduct.</w:t>
      </w:r>
    </w:p>
    <w:p w:rsidR="00526FA9" w:rsidRPr="00232A52" w:rsidRDefault="00526FA9" w:rsidP="00232A52">
      <w:pPr>
        <w:tabs>
          <w:tab w:val="left" w:pos="1260"/>
          <w:tab w:val="left" w:pos="1261"/>
        </w:tabs>
        <w:spacing w:after="0"/>
        <w:jc w:val="both"/>
        <w:rPr>
          <w:color w:val="auto"/>
        </w:rPr>
      </w:pPr>
    </w:p>
    <w:p w:rsidR="00232A52" w:rsidRPr="00232A52" w:rsidRDefault="00232A52" w:rsidP="00526FA9">
      <w:pPr>
        <w:pStyle w:val="ListParagraph"/>
        <w:numPr>
          <w:ilvl w:val="0"/>
          <w:numId w:val="6"/>
        </w:numPr>
        <w:tabs>
          <w:tab w:val="left" w:pos="1260"/>
          <w:tab w:val="left" w:pos="1261"/>
        </w:tabs>
        <w:spacing w:after="0"/>
        <w:jc w:val="both"/>
        <w:rPr>
          <w:rFonts w:cs="Arial"/>
          <w:color w:val="auto"/>
        </w:rPr>
      </w:pPr>
      <w:r w:rsidRPr="00232A52">
        <w:rPr>
          <w:rFonts w:cs="Arial"/>
          <w:color w:val="auto"/>
        </w:rPr>
        <w:t xml:space="preserve">However, in light of the subsequent resignations of the Subject Councillor and one of the Complainants and confirmation by the Complainants that they no longer wished to pursue their complaint </w:t>
      </w:r>
      <w:r w:rsidR="002910D4" w:rsidRPr="00232A52">
        <w:rPr>
          <w:rFonts w:cs="Arial"/>
          <w:color w:val="auto"/>
        </w:rPr>
        <w:t>t</w:t>
      </w:r>
      <w:r w:rsidR="00BA4192" w:rsidRPr="00232A52">
        <w:rPr>
          <w:rFonts w:cs="Arial"/>
          <w:color w:val="auto"/>
        </w:rPr>
        <w:t>he Monitoring Officer</w:t>
      </w:r>
      <w:r w:rsidR="002910D4" w:rsidRPr="00232A52">
        <w:rPr>
          <w:rFonts w:cs="Arial"/>
          <w:color w:val="auto"/>
        </w:rPr>
        <w:t xml:space="preserve">, in consultation with an Independent Person, determined that the public interest would not be served by </w:t>
      </w:r>
      <w:r w:rsidR="00526FA9" w:rsidRPr="00232A52">
        <w:rPr>
          <w:rFonts w:cs="Arial"/>
          <w:color w:val="auto"/>
        </w:rPr>
        <w:t xml:space="preserve">referring the case for investigation. </w:t>
      </w:r>
      <w:r>
        <w:rPr>
          <w:rFonts w:cs="Arial"/>
          <w:color w:val="auto"/>
        </w:rPr>
        <w:t xml:space="preserve">The Monitoring Officer’s Decision Notice is published </w:t>
      </w:r>
      <w:r w:rsidR="009D3388">
        <w:rPr>
          <w:rFonts w:cs="Arial"/>
          <w:color w:val="auto"/>
        </w:rPr>
        <w:t>on the Council’s website, under the Standards Committee.</w:t>
      </w:r>
    </w:p>
    <w:p w:rsidR="00526FA9" w:rsidRPr="00232A52" w:rsidRDefault="00526FA9" w:rsidP="00232A52">
      <w:pPr>
        <w:tabs>
          <w:tab w:val="left" w:pos="1260"/>
          <w:tab w:val="left" w:pos="1261"/>
        </w:tabs>
        <w:spacing w:after="0"/>
        <w:jc w:val="both"/>
        <w:rPr>
          <w:rFonts w:cs="Arial"/>
          <w:color w:val="FF0000"/>
        </w:rPr>
      </w:pPr>
      <w:r w:rsidRPr="00232A52">
        <w:rPr>
          <w:rFonts w:cs="Arial"/>
          <w:color w:val="FF0000"/>
        </w:rPr>
        <w:lastRenderedPageBreak/>
        <w:t xml:space="preserve"> </w:t>
      </w:r>
    </w:p>
    <w:p w:rsidR="00526FA9" w:rsidRPr="00526FA9" w:rsidRDefault="00526FA9" w:rsidP="00526FA9">
      <w:pPr>
        <w:pStyle w:val="ListParagraph"/>
        <w:numPr>
          <w:ilvl w:val="0"/>
          <w:numId w:val="6"/>
        </w:numPr>
        <w:tabs>
          <w:tab w:val="left" w:pos="1260"/>
          <w:tab w:val="left" w:pos="1261"/>
        </w:tabs>
        <w:spacing w:after="0"/>
        <w:jc w:val="both"/>
        <w:rPr>
          <w:color w:val="auto"/>
        </w:rPr>
      </w:pPr>
      <w:r w:rsidRPr="00526FA9">
        <w:rPr>
          <w:rFonts w:cs="Arial"/>
          <w:color w:val="auto"/>
        </w:rPr>
        <w:t xml:space="preserve">Since the last meeting of the Standards Committee the Monitoring Officer has received one new complaint (ref:15202) from a member of the public against a member of the city council concerning alleged behaviours when canvassing for the local elections in March 2019.  This complaint is under consideration by the Monitoring Officer, in consultation with an Independent Person. The Monitoring Officer may be in a position to provide a verbal update on the status of this complaint at the Standards Committee meeting. </w:t>
      </w:r>
    </w:p>
    <w:p w:rsidR="00AF1361" w:rsidRPr="006A39D4" w:rsidRDefault="00AF1361" w:rsidP="00AF1361">
      <w:pPr>
        <w:spacing w:after="0"/>
        <w:rPr>
          <w:rFonts w:cs="Arial"/>
          <w:color w:val="FF0000"/>
        </w:rPr>
      </w:pPr>
    </w:p>
    <w:p w:rsidR="003710CA" w:rsidRPr="009D3388" w:rsidRDefault="003710CA" w:rsidP="00352256">
      <w:pPr>
        <w:pStyle w:val="ListParagraph"/>
        <w:numPr>
          <w:ilvl w:val="0"/>
          <w:numId w:val="6"/>
        </w:numPr>
        <w:spacing w:after="0"/>
        <w:jc w:val="both"/>
        <w:rPr>
          <w:rFonts w:cs="Arial"/>
          <w:color w:val="auto"/>
        </w:rPr>
      </w:pPr>
      <w:r w:rsidRPr="009D3388">
        <w:rPr>
          <w:rFonts w:cs="Arial"/>
          <w:color w:val="auto"/>
        </w:rPr>
        <w:t>No broader learning points have</w:t>
      </w:r>
      <w:r w:rsidR="009D3388">
        <w:rPr>
          <w:rFonts w:cs="Arial"/>
          <w:color w:val="auto"/>
        </w:rPr>
        <w:t xml:space="preserve"> </w:t>
      </w:r>
      <w:r w:rsidRPr="009D3388">
        <w:rPr>
          <w:rFonts w:cs="Arial"/>
          <w:color w:val="auto"/>
        </w:rPr>
        <w:t>been identified in relation to these complaints.</w:t>
      </w:r>
    </w:p>
    <w:p w:rsidR="003710CA" w:rsidRPr="0075171F" w:rsidRDefault="003710CA" w:rsidP="003710CA">
      <w:pPr>
        <w:tabs>
          <w:tab w:val="left" w:pos="1260"/>
          <w:tab w:val="left" w:pos="1261"/>
        </w:tabs>
        <w:spacing w:after="0"/>
        <w:rPr>
          <w:rFonts w:cs="Arial"/>
          <w:color w:val="auto"/>
        </w:rPr>
      </w:pPr>
    </w:p>
    <w:p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rsidR="00AB2D3C" w:rsidRPr="0075171F" w:rsidRDefault="00AB2D3C" w:rsidP="00463D27">
      <w:pPr>
        <w:pStyle w:val="ListParagraph"/>
        <w:numPr>
          <w:ilvl w:val="0"/>
          <w:numId w:val="6"/>
        </w:numPr>
        <w:ind w:left="426" w:hanging="426"/>
        <w:jc w:val="both"/>
        <w:rPr>
          <w:rFonts w:cs="Arial"/>
          <w:color w:val="auto"/>
        </w:rPr>
      </w:pPr>
      <w:r w:rsidRPr="0075171F">
        <w:rPr>
          <w:rFonts w:cs="Arial"/>
        </w:rPr>
        <w:t>The Localism Act 2011 prevents Members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rsidR="00AB2D3C" w:rsidRPr="0075171F" w:rsidRDefault="00810B15" w:rsidP="00463D27">
      <w:pPr>
        <w:pStyle w:val="ListParagraph"/>
        <w:numPr>
          <w:ilvl w:val="0"/>
          <w:numId w:val="6"/>
        </w:numPr>
        <w:tabs>
          <w:tab w:val="clear" w:pos="426"/>
        </w:tabs>
        <w:ind w:left="426" w:hanging="567"/>
        <w:jc w:val="both"/>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rsidTr="00700FE9">
        <w:trPr>
          <w:trHeight w:val="4871"/>
        </w:trPr>
        <w:tc>
          <w:tcPr>
            <w:tcW w:w="8647" w:type="dxa"/>
          </w:tcPr>
          <w:p w:rsidR="00B3110C" w:rsidRPr="0075171F" w:rsidRDefault="00B3110C" w:rsidP="00B3110C">
            <w:pPr>
              <w:numPr>
                <w:ilvl w:val="0"/>
                <w:numId w:val="9"/>
              </w:numPr>
              <w:tabs>
                <w:tab w:val="left" w:pos="426"/>
              </w:tabs>
              <w:spacing w:before="120"/>
              <w:ind w:left="473" w:hanging="357"/>
              <w:rPr>
                <w:rFonts w:cs="Arial"/>
                <w:color w:val="auto"/>
              </w:rPr>
            </w:pPr>
            <w:r w:rsidRPr="0075171F">
              <w:rPr>
                <w:rFonts w:cs="Arial"/>
                <w:b/>
                <w:color w:val="auto"/>
              </w:rPr>
              <w:t>Determining an allowance</w:t>
            </w:r>
            <w:r w:rsidRPr="0075171F">
              <w:rPr>
                <w:rFonts w:cs="Arial"/>
                <w:color w:val="auto"/>
              </w:rPr>
              <w:t xml:space="preserve"> (including special responsibility allowances), travelling expense, payment or indemnity given to Members</w:t>
            </w:r>
          </w:p>
          <w:p w:rsidR="00B3110C" w:rsidRPr="0075171F" w:rsidRDefault="00B3110C" w:rsidP="00B3110C">
            <w:pPr>
              <w:numPr>
                <w:ilvl w:val="0"/>
                <w:numId w:val="9"/>
              </w:numPr>
              <w:tabs>
                <w:tab w:val="left" w:pos="426"/>
              </w:tabs>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rsidR="00754CED" w:rsidRPr="0075171F" w:rsidRDefault="00B3110C" w:rsidP="00B3110C">
            <w:pPr>
              <w:numPr>
                <w:ilvl w:val="0"/>
                <w:numId w:val="9"/>
              </w:numPr>
              <w:tabs>
                <w:tab w:val="left" w:pos="426"/>
              </w:tabs>
              <w:spacing w:before="120" w:after="0"/>
              <w:ind w:left="473" w:hanging="357"/>
              <w:rPr>
                <w:rFonts w:cs="Arial"/>
                <w:color w:val="auto"/>
              </w:rPr>
            </w:pPr>
            <w:r w:rsidRPr="0075171F">
              <w:rPr>
                <w:rFonts w:cs="Arial"/>
                <w:b/>
              </w:rPr>
              <w:t>Housing Benefit</w:t>
            </w:r>
            <w:r w:rsidR="006A39D4">
              <w:rPr>
                <w:rFonts w:cs="Arial"/>
                <w:b/>
              </w:rPr>
              <w:t>/Universal Credit</w:t>
            </w:r>
            <w:r w:rsidRPr="0075171F">
              <w:rPr>
                <w:rFonts w:cs="Arial"/>
                <w:b/>
              </w:rPr>
              <w:t>:</w:t>
            </w:r>
            <w:r w:rsidRPr="0075171F">
              <w:rPr>
                <w:rFonts w:cs="Arial"/>
              </w:rPr>
              <w:t xml:space="preserve"> where the Councillor (or spouse or partner) receives housing benefit;</w:t>
            </w:r>
          </w:p>
          <w:p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rsidR="00B3110C" w:rsidRPr="0075171F" w:rsidRDefault="00B3110C" w:rsidP="00B3110C">
            <w:pPr>
              <w:numPr>
                <w:ilvl w:val="0"/>
                <w:numId w:val="9"/>
              </w:numPr>
              <w:tabs>
                <w:tab w:val="left" w:pos="426"/>
              </w:tabs>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rsidR="00AB2D3C" w:rsidRPr="0075171F" w:rsidRDefault="00AB2D3C" w:rsidP="00E32A8D">
      <w:pPr>
        <w:spacing w:after="0"/>
        <w:rPr>
          <w:rFonts w:cs="Arial"/>
          <w:color w:val="auto"/>
        </w:rPr>
      </w:pPr>
    </w:p>
    <w:p w:rsidR="0024336D" w:rsidRPr="0075171F" w:rsidRDefault="000D437F" w:rsidP="00463D27">
      <w:pPr>
        <w:pStyle w:val="ListParagraph"/>
        <w:numPr>
          <w:ilvl w:val="0"/>
          <w:numId w:val="6"/>
        </w:numPr>
        <w:tabs>
          <w:tab w:val="clear" w:pos="426"/>
          <w:tab w:val="left" w:pos="567"/>
        </w:tabs>
        <w:ind w:left="567" w:hanging="567"/>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rsidR="0024336D" w:rsidRPr="0075171F"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re have been no requests for an individual dispensation under Section 33 of the Localism Act 2011.</w:t>
      </w:r>
    </w:p>
    <w:p w:rsidR="00B52404" w:rsidRPr="0075171F" w:rsidRDefault="00B52404" w:rsidP="00B52404">
      <w:pPr>
        <w:spacing w:after="0"/>
        <w:jc w:val="both"/>
        <w:rPr>
          <w:rFonts w:cs="Arial"/>
          <w:color w:val="auto"/>
        </w:rPr>
      </w:pPr>
    </w:p>
    <w:p w:rsidR="00E302F1" w:rsidRPr="0075171F" w:rsidRDefault="00E302F1" w:rsidP="00B52404">
      <w:pPr>
        <w:ind w:left="-6"/>
        <w:rPr>
          <w:rFonts w:cs="Arial"/>
          <w:b/>
          <w:color w:val="auto"/>
        </w:rPr>
      </w:pPr>
      <w:r w:rsidRPr="0075171F">
        <w:rPr>
          <w:rFonts w:cs="Arial"/>
          <w:b/>
          <w:color w:val="auto"/>
        </w:rPr>
        <w:t>Legal implications</w:t>
      </w:r>
    </w:p>
    <w:p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 xml:space="preserve">The Localism Act 2011 requires the Council to have a Code of Conduct which sets out the standards expected of Members whenever they act in their official </w:t>
      </w:r>
      <w:r w:rsidRPr="0075171F">
        <w:rPr>
          <w:rFonts w:cs="Arial"/>
          <w:color w:val="auto"/>
        </w:rPr>
        <w:lastRenderedPageBreak/>
        <w:t>capacity. The Code must also have in place a suitable procedure at a local level to investigate and determine allegations against elected Members and co-opted Members. The Council is also responsible for having arrangements in place to investigate and determine allegations against Parish Councillors.</w:t>
      </w:r>
    </w:p>
    <w:p w:rsidR="009153D7" w:rsidRPr="0075171F" w:rsidRDefault="009153D7" w:rsidP="009153D7">
      <w:pPr>
        <w:spacing w:after="0"/>
        <w:rPr>
          <w:rFonts w:cs="Arial"/>
          <w:color w:val="auto"/>
        </w:rPr>
      </w:pPr>
    </w:p>
    <w:p w:rsidR="009153D7" w:rsidRPr="0075171F" w:rsidRDefault="009153D7" w:rsidP="009153D7">
      <w:pPr>
        <w:rPr>
          <w:rFonts w:cs="Arial"/>
          <w:b/>
          <w:color w:val="auto"/>
        </w:rPr>
      </w:pPr>
      <w:r w:rsidRPr="0075171F">
        <w:rPr>
          <w:rFonts w:cs="Arial"/>
          <w:b/>
          <w:color w:val="auto"/>
        </w:rPr>
        <w:t>Financial implications</w:t>
      </w:r>
    </w:p>
    <w:p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rsidR="00B52404" w:rsidRPr="0075171F" w:rsidRDefault="00B52404" w:rsidP="00831E86">
      <w:pPr>
        <w:spacing w:after="0"/>
        <w:rPr>
          <w:rFonts w:cs="Arial"/>
          <w:color w:val="auto"/>
        </w:rPr>
      </w:pPr>
    </w:p>
    <w:p w:rsidR="00E302F1" w:rsidRPr="0075171F" w:rsidRDefault="00E302F1" w:rsidP="00E302F1">
      <w:pPr>
        <w:rPr>
          <w:rFonts w:cs="Arial"/>
          <w:b/>
          <w:color w:val="auto"/>
        </w:rPr>
      </w:pPr>
      <w:r w:rsidRPr="0075171F">
        <w:rPr>
          <w:rFonts w:cs="Arial"/>
          <w:b/>
          <w:color w:val="auto"/>
        </w:rPr>
        <w:t>Risk management</w:t>
      </w:r>
    </w:p>
    <w:p w:rsidR="00121CF0"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rsidR="002329CF" w:rsidRDefault="002329CF" w:rsidP="00E32A8D">
      <w:pPr>
        <w:tabs>
          <w:tab w:val="left" w:pos="567"/>
        </w:tabs>
        <w:ind w:left="567" w:hanging="567"/>
        <w:rPr>
          <w:rFonts w:cs="Arial"/>
        </w:rPr>
      </w:pPr>
    </w:p>
    <w:p w:rsidR="009D3388" w:rsidRDefault="009D3388" w:rsidP="00E32A8D">
      <w:pPr>
        <w:tabs>
          <w:tab w:val="left" w:pos="567"/>
        </w:tabs>
        <w:ind w:left="567" w:hanging="567"/>
        <w:rPr>
          <w:rFonts w:cs="Arial"/>
        </w:rPr>
      </w:pPr>
    </w:p>
    <w:p w:rsidR="009D3388" w:rsidRDefault="009D3388" w:rsidP="00E32A8D">
      <w:pPr>
        <w:tabs>
          <w:tab w:val="left" w:pos="567"/>
        </w:tabs>
        <w:ind w:left="567" w:hanging="567"/>
        <w:rPr>
          <w:rFonts w:cs="Arial"/>
        </w:rPr>
      </w:pPr>
    </w:p>
    <w:p w:rsidR="009D3388" w:rsidRDefault="009D3388" w:rsidP="00E32A8D">
      <w:pPr>
        <w:tabs>
          <w:tab w:val="left" w:pos="567"/>
        </w:tabs>
        <w:ind w:left="567" w:hanging="567"/>
        <w:rPr>
          <w:rFonts w:cs="Arial"/>
        </w:rPr>
      </w:pPr>
    </w:p>
    <w:p w:rsidR="009D3388" w:rsidRDefault="009D3388" w:rsidP="00E32A8D">
      <w:pPr>
        <w:tabs>
          <w:tab w:val="left" w:pos="567"/>
        </w:tabs>
        <w:ind w:left="567" w:hanging="567"/>
        <w:rPr>
          <w:rFonts w:cs="Arial"/>
        </w:rPr>
      </w:pPr>
      <w:bookmarkStart w:id="0" w:name="_GoBack"/>
      <w:bookmarkEnd w:id="0"/>
    </w:p>
    <w:p w:rsidR="00700FE9" w:rsidRPr="0075171F" w:rsidRDefault="00700FE9"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75171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5171F" w:rsidRDefault="00DC091B" w:rsidP="00A46E98">
            <w:pPr>
              <w:rPr>
                <w:rFonts w:cs="Arial"/>
              </w:rPr>
            </w:pPr>
            <w:r w:rsidRPr="0075171F">
              <w:rPr>
                <w:rFonts w:cs="Arial"/>
              </w:rPr>
              <w:t>Catherine Phythian</w:t>
            </w:r>
          </w:p>
        </w:tc>
      </w:tr>
      <w:tr w:rsidR="00DF093E" w:rsidRPr="0075171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Committee and Members Services Officer</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Law and Governance</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5171F" w:rsidRDefault="00E87F7A" w:rsidP="00DC091B">
            <w:pPr>
              <w:rPr>
                <w:rFonts w:cs="Arial"/>
              </w:rPr>
            </w:pPr>
            <w:r w:rsidRPr="0075171F">
              <w:rPr>
                <w:rFonts w:cs="Arial"/>
              </w:rPr>
              <w:t xml:space="preserve">01865 </w:t>
            </w:r>
            <w:r w:rsidR="006E1EF9" w:rsidRPr="0075171F">
              <w:rPr>
                <w:rFonts w:cs="Arial"/>
              </w:rPr>
              <w:t>25</w:t>
            </w:r>
            <w:r w:rsidR="00DC091B" w:rsidRPr="0075171F">
              <w:rPr>
                <w:rFonts w:cs="Arial"/>
              </w:rPr>
              <w:t>2402</w:t>
            </w:r>
            <w:r w:rsidRPr="0075171F">
              <w:rPr>
                <w:rFonts w:cs="Arial"/>
              </w:rPr>
              <w:t xml:space="preserve">  </w:t>
            </w:r>
          </w:p>
        </w:tc>
      </w:tr>
      <w:tr w:rsidR="005570B5" w:rsidRPr="0075171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5171F" w:rsidRDefault="009D3388" w:rsidP="00DC091B">
            <w:pPr>
              <w:rPr>
                <w:rStyle w:val="Hyperlink"/>
                <w:rFonts w:cs="Arial"/>
                <w:color w:val="000000"/>
              </w:rPr>
            </w:pPr>
            <w:hyperlink r:id="rId9" w:history="1">
              <w:r w:rsidR="00DC091B" w:rsidRPr="0075171F">
                <w:rPr>
                  <w:rStyle w:val="Hyperlink"/>
                  <w:rFonts w:cs="Arial"/>
                </w:rPr>
                <w:t>cphythian@oxford.gov.uk</w:t>
              </w:r>
            </w:hyperlink>
            <w:r w:rsidR="006E1EF9" w:rsidRPr="0075171F">
              <w:rPr>
                <w:rStyle w:val="Hyperlink"/>
                <w:rFonts w:cs="Arial"/>
                <w:color w:val="000000"/>
              </w:rPr>
              <w:t xml:space="preserve"> </w:t>
            </w:r>
          </w:p>
        </w:tc>
      </w:tr>
    </w:tbl>
    <w:p w:rsidR="00B534F4" w:rsidRPr="0075171F" w:rsidRDefault="00B534F4" w:rsidP="0093067A">
      <w:pPr>
        <w:rPr>
          <w:color w:val="FF0000"/>
        </w:rPr>
      </w:pPr>
    </w:p>
    <w:sectPr w:rsidR="00B534F4" w:rsidRPr="0075171F" w:rsidSect="00352256">
      <w:headerReference w:type="even" r:id="rId10"/>
      <w:headerReference w:type="default" r:id="rId11"/>
      <w:footerReference w:type="even" r:id="rId12"/>
      <w:footerReference w:type="default" r:id="rId13"/>
      <w:headerReference w:type="first" r:id="rId14"/>
      <w:footerReference w:type="first" r:id="rId15"/>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C2" w:rsidRDefault="0059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C2" w:rsidRDefault="0059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C2" w:rsidRDefault="00597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2689DFD9" wp14:editId="125D483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D4FFE"/>
    <w:multiLevelType w:val="hybridMultilevel"/>
    <w:tmpl w:val="1676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1">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716784"/>
    <w:multiLevelType w:val="hybridMultilevel"/>
    <w:tmpl w:val="07E06CCE"/>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933A46"/>
    <w:multiLevelType w:val="hybridMultilevel"/>
    <w:tmpl w:val="2054B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2">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6">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7">
    <w:nsid w:val="66D42D85"/>
    <w:multiLevelType w:val="hybridMultilevel"/>
    <w:tmpl w:val="0B647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
  </w:num>
  <w:num w:numId="3">
    <w:abstractNumId w:val="8"/>
  </w:num>
  <w:num w:numId="4">
    <w:abstractNumId w:val="2"/>
  </w:num>
  <w:num w:numId="5">
    <w:abstractNumId w:val="28"/>
  </w:num>
  <w:num w:numId="6">
    <w:abstractNumId w:val="12"/>
  </w:num>
  <w:num w:numId="7">
    <w:abstractNumId w:val="4"/>
  </w:num>
  <w:num w:numId="8">
    <w:abstractNumId w:val="20"/>
  </w:num>
  <w:num w:numId="9">
    <w:abstractNumId w:val="18"/>
  </w:num>
  <w:num w:numId="10">
    <w:abstractNumId w:val="17"/>
  </w:num>
  <w:num w:numId="11">
    <w:abstractNumId w:val="15"/>
  </w:num>
  <w:num w:numId="12">
    <w:abstractNumId w:val="7"/>
  </w:num>
  <w:num w:numId="13">
    <w:abstractNumId w:val="5"/>
  </w:num>
  <w:num w:numId="14">
    <w:abstractNumId w:val="23"/>
  </w:num>
  <w:num w:numId="15">
    <w:abstractNumId w:val="11"/>
  </w:num>
  <w:num w:numId="16">
    <w:abstractNumId w:val="35"/>
  </w:num>
  <w:num w:numId="17">
    <w:abstractNumId w:val="34"/>
  </w:num>
  <w:num w:numId="18">
    <w:abstractNumId w:val="14"/>
  </w:num>
  <w:num w:numId="19">
    <w:abstractNumId w:val="19"/>
  </w:num>
  <w:num w:numId="20">
    <w:abstractNumId w:val="1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1"/>
  </w:num>
  <w:num w:numId="24">
    <w:abstractNumId w:val="13"/>
  </w:num>
  <w:num w:numId="25">
    <w:abstractNumId w:val="32"/>
  </w:num>
  <w:num w:numId="26">
    <w:abstractNumId w:val="30"/>
  </w:num>
  <w:num w:numId="27">
    <w:abstractNumId w:val="0"/>
  </w:num>
  <w:num w:numId="28">
    <w:abstractNumId w:val="3"/>
  </w:num>
  <w:num w:numId="29">
    <w:abstractNumId w:val="6"/>
  </w:num>
  <w:num w:numId="30">
    <w:abstractNumId w:val="26"/>
  </w:num>
  <w:num w:numId="31">
    <w:abstractNumId w:val="22"/>
  </w:num>
  <w:num w:numId="32">
    <w:abstractNumId w:val="21"/>
  </w:num>
  <w:num w:numId="33">
    <w:abstractNumId w:val="25"/>
  </w:num>
  <w:num w:numId="34">
    <w:abstractNumId w:val="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336C7"/>
    <w:rsid w:val="00045F8B"/>
    <w:rsid w:val="00046D2B"/>
    <w:rsid w:val="000522BC"/>
    <w:rsid w:val="000553C4"/>
    <w:rsid w:val="00056263"/>
    <w:rsid w:val="00064D8A"/>
    <w:rsid w:val="00064F82"/>
    <w:rsid w:val="00066510"/>
    <w:rsid w:val="00077523"/>
    <w:rsid w:val="00081E7A"/>
    <w:rsid w:val="000C089F"/>
    <w:rsid w:val="000C1097"/>
    <w:rsid w:val="000C3928"/>
    <w:rsid w:val="000C5E8E"/>
    <w:rsid w:val="000D024A"/>
    <w:rsid w:val="000D437F"/>
    <w:rsid w:val="000E53F5"/>
    <w:rsid w:val="000F4751"/>
    <w:rsid w:val="0010524C"/>
    <w:rsid w:val="00111FB1"/>
    <w:rsid w:val="00113418"/>
    <w:rsid w:val="00121CF0"/>
    <w:rsid w:val="00125393"/>
    <w:rsid w:val="001356F1"/>
    <w:rsid w:val="00136994"/>
    <w:rsid w:val="0014128E"/>
    <w:rsid w:val="00141F47"/>
    <w:rsid w:val="00151888"/>
    <w:rsid w:val="001657A8"/>
    <w:rsid w:val="00170A2D"/>
    <w:rsid w:val="001808BC"/>
    <w:rsid w:val="00182B81"/>
    <w:rsid w:val="0018619D"/>
    <w:rsid w:val="001A011E"/>
    <w:rsid w:val="001A066A"/>
    <w:rsid w:val="001A0765"/>
    <w:rsid w:val="001A13E6"/>
    <w:rsid w:val="001A5731"/>
    <w:rsid w:val="001B0516"/>
    <w:rsid w:val="001B42C3"/>
    <w:rsid w:val="001C303A"/>
    <w:rsid w:val="001C3182"/>
    <w:rsid w:val="001C5D5E"/>
    <w:rsid w:val="001D678D"/>
    <w:rsid w:val="001E03F8"/>
    <w:rsid w:val="001E1678"/>
    <w:rsid w:val="001E3376"/>
    <w:rsid w:val="002069B3"/>
    <w:rsid w:val="002329CF"/>
    <w:rsid w:val="00232A52"/>
    <w:rsid w:val="00232F5B"/>
    <w:rsid w:val="0024336D"/>
    <w:rsid w:val="00247C29"/>
    <w:rsid w:val="00260467"/>
    <w:rsid w:val="00263EA3"/>
    <w:rsid w:val="00284F85"/>
    <w:rsid w:val="00290915"/>
    <w:rsid w:val="002910D4"/>
    <w:rsid w:val="002A22E2"/>
    <w:rsid w:val="002C177C"/>
    <w:rsid w:val="002C64F7"/>
    <w:rsid w:val="002D1E8A"/>
    <w:rsid w:val="002E4BEA"/>
    <w:rsid w:val="002F41F2"/>
    <w:rsid w:val="002F7F16"/>
    <w:rsid w:val="00301BF3"/>
    <w:rsid w:val="0030208D"/>
    <w:rsid w:val="00312D11"/>
    <w:rsid w:val="00323418"/>
    <w:rsid w:val="00323A9E"/>
    <w:rsid w:val="003357BF"/>
    <w:rsid w:val="00352256"/>
    <w:rsid w:val="00355F8D"/>
    <w:rsid w:val="00364FAD"/>
    <w:rsid w:val="0036738F"/>
    <w:rsid w:val="0036759C"/>
    <w:rsid w:val="00367AE5"/>
    <w:rsid w:val="00367D71"/>
    <w:rsid w:val="003710CA"/>
    <w:rsid w:val="00376BF2"/>
    <w:rsid w:val="0038150A"/>
    <w:rsid w:val="003B17F2"/>
    <w:rsid w:val="003B6E75"/>
    <w:rsid w:val="003B7DA1"/>
    <w:rsid w:val="003D0379"/>
    <w:rsid w:val="003D2574"/>
    <w:rsid w:val="003D4C59"/>
    <w:rsid w:val="003F4267"/>
    <w:rsid w:val="003F6B1C"/>
    <w:rsid w:val="00404032"/>
    <w:rsid w:val="0040736F"/>
    <w:rsid w:val="00412C1F"/>
    <w:rsid w:val="00421CB2"/>
    <w:rsid w:val="004268B9"/>
    <w:rsid w:val="00433B96"/>
    <w:rsid w:val="004369D9"/>
    <w:rsid w:val="004440F1"/>
    <w:rsid w:val="004456DD"/>
    <w:rsid w:val="00446CDF"/>
    <w:rsid w:val="00447D5E"/>
    <w:rsid w:val="004521B7"/>
    <w:rsid w:val="004521FD"/>
    <w:rsid w:val="00462AB5"/>
    <w:rsid w:val="00463D27"/>
    <w:rsid w:val="00464EA8"/>
    <w:rsid w:val="00465EAF"/>
    <w:rsid w:val="004738C5"/>
    <w:rsid w:val="00491046"/>
    <w:rsid w:val="00493EB9"/>
    <w:rsid w:val="004A2AC7"/>
    <w:rsid w:val="004A6D2F"/>
    <w:rsid w:val="004B3852"/>
    <w:rsid w:val="004C2887"/>
    <w:rsid w:val="004D2626"/>
    <w:rsid w:val="004D313D"/>
    <w:rsid w:val="004D6E26"/>
    <w:rsid w:val="004D6E89"/>
    <w:rsid w:val="004D77D3"/>
    <w:rsid w:val="004E13DF"/>
    <w:rsid w:val="004E2959"/>
    <w:rsid w:val="004E3A20"/>
    <w:rsid w:val="004E3B9B"/>
    <w:rsid w:val="004F20EF"/>
    <w:rsid w:val="004F44BF"/>
    <w:rsid w:val="0050321C"/>
    <w:rsid w:val="00514771"/>
    <w:rsid w:val="00526FA9"/>
    <w:rsid w:val="00532D0F"/>
    <w:rsid w:val="005408AA"/>
    <w:rsid w:val="00544024"/>
    <w:rsid w:val="0054712D"/>
    <w:rsid w:val="00547EF6"/>
    <w:rsid w:val="005570B5"/>
    <w:rsid w:val="00567E18"/>
    <w:rsid w:val="00575F5F"/>
    <w:rsid w:val="00581805"/>
    <w:rsid w:val="00585E83"/>
    <w:rsid w:val="00585F76"/>
    <w:rsid w:val="00593F97"/>
    <w:rsid w:val="005976C2"/>
    <w:rsid w:val="005A016C"/>
    <w:rsid w:val="005A1081"/>
    <w:rsid w:val="005A34E4"/>
    <w:rsid w:val="005B1401"/>
    <w:rsid w:val="005B17F2"/>
    <w:rsid w:val="005B4F91"/>
    <w:rsid w:val="005B7FB0"/>
    <w:rsid w:val="005C35A5"/>
    <w:rsid w:val="005C577C"/>
    <w:rsid w:val="005C6B7A"/>
    <w:rsid w:val="005C7612"/>
    <w:rsid w:val="005D0621"/>
    <w:rsid w:val="005D168D"/>
    <w:rsid w:val="005D1E27"/>
    <w:rsid w:val="005D2A3E"/>
    <w:rsid w:val="005E022E"/>
    <w:rsid w:val="005E0B78"/>
    <w:rsid w:val="005E101C"/>
    <w:rsid w:val="005E5215"/>
    <w:rsid w:val="005F7F7E"/>
    <w:rsid w:val="00601433"/>
    <w:rsid w:val="00614693"/>
    <w:rsid w:val="00623C2F"/>
    <w:rsid w:val="00625392"/>
    <w:rsid w:val="00627829"/>
    <w:rsid w:val="00633578"/>
    <w:rsid w:val="00637068"/>
    <w:rsid w:val="00650811"/>
    <w:rsid w:val="00660AB7"/>
    <w:rsid w:val="00661D3E"/>
    <w:rsid w:val="00673CFA"/>
    <w:rsid w:val="00692627"/>
    <w:rsid w:val="006928D1"/>
    <w:rsid w:val="006969E7"/>
    <w:rsid w:val="006A3643"/>
    <w:rsid w:val="006A39D4"/>
    <w:rsid w:val="006A68BA"/>
    <w:rsid w:val="006B45C6"/>
    <w:rsid w:val="006C2806"/>
    <w:rsid w:val="006C2A29"/>
    <w:rsid w:val="006C64CF"/>
    <w:rsid w:val="006C7D3F"/>
    <w:rsid w:val="006C7E41"/>
    <w:rsid w:val="006D17B1"/>
    <w:rsid w:val="006D4752"/>
    <w:rsid w:val="006D708A"/>
    <w:rsid w:val="006E14C1"/>
    <w:rsid w:val="006E1EF9"/>
    <w:rsid w:val="006F0292"/>
    <w:rsid w:val="006F1D18"/>
    <w:rsid w:val="006F27FA"/>
    <w:rsid w:val="006F416B"/>
    <w:rsid w:val="006F519B"/>
    <w:rsid w:val="00700FE9"/>
    <w:rsid w:val="00713675"/>
    <w:rsid w:val="00715823"/>
    <w:rsid w:val="00737B93"/>
    <w:rsid w:val="00745BF0"/>
    <w:rsid w:val="00750C0D"/>
    <w:rsid w:val="0075171F"/>
    <w:rsid w:val="00754CED"/>
    <w:rsid w:val="007615FE"/>
    <w:rsid w:val="0076655C"/>
    <w:rsid w:val="007721E3"/>
    <w:rsid w:val="007742DC"/>
    <w:rsid w:val="00784261"/>
    <w:rsid w:val="00791437"/>
    <w:rsid w:val="007B0C2C"/>
    <w:rsid w:val="007B278E"/>
    <w:rsid w:val="007C5C23"/>
    <w:rsid w:val="007E2A26"/>
    <w:rsid w:val="007F2348"/>
    <w:rsid w:val="007F6EF6"/>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1EE4"/>
    <w:rsid w:val="00874E39"/>
    <w:rsid w:val="008A1A43"/>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83DB1"/>
    <w:rsid w:val="00995CE0"/>
    <w:rsid w:val="009B15D1"/>
    <w:rsid w:val="009B3159"/>
    <w:rsid w:val="009D3388"/>
    <w:rsid w:val="009D5E38"/>
    <w:rsid w:val="009D7F0E"/>
    <w:rsid w:val="009E3D0A"/>
    <w:rsid w:val="009E51FC"/>
    <w:rsid w:val="009F1D28"/>
    <w:rsid w:val="009F7618"/>
    <w:rsid w:val="00A04D23"/>
    <w:rsid w:val="00A06766"/>
    <w:rsid w:val="00A13765"/>
    <w:rsid w:val="00A21B12"/>
    <w:rsid w:val="00A23F80"/>
    <w:rsid w:val="00A46E98"/>
    <w:rsid w:val="00A6352B"/>
    <w:rsid w:val="00A701B5"/>
    <w:rsid w:val="00A714BB"/>
    <w:rsid w:val="00A77C9D"/>
    <w:rsid w:val="00A92D8F"/>
    <w:rsid w:val="00AB2988"/>
    <w:rsid w:val="00AB2D3C"/>
    <w:rsid w:val="00AB7999"/>
    <w:rsid w:val="00AD3292"/>
    <w:rsid w:val="00AE7AF0"/>
    <w:rsid w:val="00AF1361"/>
    <w:rsid w:val="00B147CB"/>
    <w:rsid w:val="00B3110C"/>
    <w:rsid w:val="00B500CA"/>
    <w:rsid w:val="00B52404"/>
    <w:rsid w:val="00B534F4"/>
    <w:rsid w:val="00B67F63"/>
    <w:rsid w:val="00B8014B"/>
    <w:rsid w:val="00B86314"/>
    <w:rsid w:val="00B90E90"/>
    <w:rsid w:val="00BA1C2E"/>
    <w:rsid w:val="00BA4192"/>
    <w:rsid w:val="00BB01A0"/>
    <w:rsid w:val="00BC200B"/>
    <w:rsid w:val="00BC4756"/>
    <w:rsid w:val="00BC69A4"/>
    <w:rsid w:val="00BD7950"/>
    <w:rsid w:val="00BE0680"/>
    <w:rsid w:val="00BE305F"/>
    <w:rsid w:val="00BE7BA3"/>
    <w:rsid w:val="00BF203F"/>
    <w:rsid w:val="00BF5682"/>
    <w:rsid w:val="00BF7B09"/>
    <w:rsid w:val="00C20A95"/>
    <w:rsid w:val="00C2692F"/>
    <w:rsid w:val="00C3207C"/>
    <w:rsid w:val="00C400E1"/>
    <w:rsid w:val="00C41187"/>
    <w:rsid w:val="00C55D85"/>
    <w:rsid w:val="00C61419"/>
    <w:rsid w:val="00C63C31"/>
    <w:rsid w:val="00C7197F"/>
    <w:rsid w:val="00C757A0"/>
    <w:rsid w:val="00C760DE"/>
    <w:rsid w:val="00C82630"/>
    <w:rsid w:val="00C85B4E"/>
    <w:rsid w:val="00C907F7"/>
    <w:rsid w:val="00C945C1"/>
    <w:rsid w:val="00CA2103"/>
    <w:rsid w:val="00CA6763"/>
    <w:rsid w:val="00CB6B99"/>
    <w:rsid w:val="00CB7761"/>
    <w:rsid w:val="00CE4C87"/>
    <w:rsid w:val="00CE544A"/>
    <w:rsid w:val="00CF48E0"/>
    <w:rsid w:val="00CF5FC2"/>
    <w:rsid w:val="00D04108"/>
    <w:rsid w:val="00D11E1C"/>
    <w:rsid w:val="00D160B0"/>
    <w:rsid w:val="00D17F94"/>
    <w:rsid w:val="00D223FC"/>
    <w:rsid w:val="00D23E8F"/>
    <w:rsid w:val="00D26D1E"/>
    <w:rsid w:val="00D26D58"/>
    <w:rsid w:val="00D326E6"/>
    <w:rsid w:val="00D46B2A"/>
    <w:rsid w:val="00D474CF"/>
    <w:rsid w:val="00D47F72"/>
    <w:rsid w:val="00D5547E"/>
    <w:rsid w:val="00D869A1"/>
    <w:rsid w:val="00DA413F"/>
    <w:rsid w:val="00DA4584"/>
    <w:rsid w:val="00DA5712"/>
    <w:rsid w:val="00DA614B"/>
    <w:rsid w:val="00DC091B"/>
    <w:rsid w:val="00DC3060"/>
    <w:rsid w:val="00DD458E"/>
    <w:rsid w:val="00DE0FB2"/>
    <w:rsid w:val="00DE1E46"/>
    <w:rsid w:val="00DF093E"/>
    <w:rsid w:val="00E017EE"/>
    <w:rsid w:val="00E01F42"/>
    <w:rsid w:val="00E206D6"/>
    <w:rsid w:val="00E2751F"/>
    <w:rsid w:val="00E302F1"/>
    <w:rsid w:val="00E32A8D"/>
    <w:rsid w:val="00E3366E"/>
    <w:rsid w:val="00E50857"/>
    <w:rsid w:val="00E52086"/>
    <w:rsid w:val="00E543A6"/>
    <w:rsid w:val="00E60479"/>
    <w:rsid w:val="00E61D73"/>
    <w:rsid w:val="00E73684"/>
    <w:rsid w:val="00E818D6"/>
    <w:rsid w:val="00E87F7A"/>
    <w:rsid w:val="00E96BD7"/>
    <w:rsid w:val="00EA0DB1"/>
    <w:rsid w:val="00EA0EE9"/>
    <w:rsid w:val="00ED065D"/>
    <w:rsid w:val="00ED52CA"/>
    <w:rsid w:val="00ED5860"/>
    <w:rsid w:val="00EE2824"/>
    <w:rsid w:val="00EE35C9"/>
    <w:rsid w:val="00EF62F9"/>
    <w:rsid w:val="00F05ECA"/>
    <w:rsid w:val="00F22232"/>
    <w:rsid w:val="00F2676D"/>
    <w:rsid w:val="00F3566E"/>
    <w:rsid w:val="00F35B93"/>
    <w:rsid w:val="00F375FB"/>
    <w:rsid w:val="00F41AC1"/>
    <w:rsid w:val="00F4367A"/>
    <w:rsid w:val="00F445B1"/>
    <w:rsid w:val="00F45CD4"/>
    <w:rsid w:val="00F51944"/>
    <w:rsid w:val="00F66DCA"/>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06371589">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hythian@oxfor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49AE-2705-44FB-9EE4-27F207BD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89B04BD3</Template>
  <TotalTime>47</TotalTime>
  <Pages>5</Pages>
  <Words>1481</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cphythian</cp:lastModifiedBy>
  <cp:revision>7</cp:revision>
  <cp:lastPrinted>2019-01-17T14:20:00Z</cp:lastPrinted>
  <dcterms:created xsi:type="dcterms:W3CDTF">2019-05-28T12:29:00Z</dcterms:created>
  <dcterms:modified xsi:type="dcterms:W3CDTF">2019-06-11T10:46:00Z</dcterms:modified>
</cp:coreProperties>
</file>